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农村特困人员救助供养支出绩效报告</w:t>
      </w:r>
    </w:p>
    <w:p>
      <w:pPr>
        <w:ind w:firstLine="640" w:firstLineChars="200"/>
        <w:jc w:val="left"/>
        <w:rPr>
          <w:rFonts w:ascii="仿宋_GB2312" w:eastAsia="仿宋_GB2312"/>
          <w:sz w:val="32"/>
          <w:szCs w:val="32"/>
        </w:rPr>
      </w:pPr>
      <w:r>
        <w:rPr>
          <w:rFonts w:hint="eastAsia" w:ascii="仿宋_GB2312" w:eastAsia="仿宋_GB2312"/>
          <w:sz w:val="32"/>
          <w:szCs w:val="32"/>
        </w:rPr>
        <w:t>一、项目概况</w:t>
      </w:r>
    </w:p>
    <w:p>
      <w:pPr>
        <w:ind w:firstLine="640" w:firstLineChars="200"/>
        <w:jc w:val="left"/>
        <w:rPr>
          <w:rFonts w:eastAsia="仿宋_GB2312"/>
          <w:sz w:val="32"/>
          <w:szCs w:val="32"/>
        </w:rPr>
      </w:pPr>
      <w:r>
        <w:rPr>
          <w:rFonts w:hint="eastAsia" w:ascii="仿宋_GB2312" w:eastAsia="仿宋_GB2312"/>
          <w:sz w:val="32"/>
          <w:szCs w:val="32"/>
        </w:rPr>
        <w:t>（一）</w:t>
      </w:r>
      <w:r>
        <w:rPr>
          <w:rFonts w:eastAsia="仿宋_GB2312"/>
          <w:sz w:val="32"/>
          <w:szCs w:val="32"/>
        </w:rPr>
        <w:t>项目单位基本情况。</w:t>
      </w:r>
    </w:p>
    <w:p>
      <w:pPr>
        <w:adjustRightInd w:val="0"/>
        <w:snapToGrid w:val="0"/>
        <w:spacing w:line="490" w:lineRule="exact"/>
        <w:ind w:firstLine="627" w:firstLineChars="196"/>
        <w:rPr>
          <w:rFonts w:ascii="仿宋_GB2312" w:eastAsia="仿宋_GB2312"/>
          <w:sz w:val="32"/>
          <w:szCs w:val="32"/>
        </w:rPr>
      </w:pPr>
      <w:r>
        <w:rPr>
          <w:rFonts w:hint="eastAsia" w:ascii="仿宋_GB2312" w:hAnsi="宋体" w:eastAsia="仿宋_GB2312" w:cs="宋体"/>
          <w:bCs/>
          <w:sz w:val="32"/>
          <w:szCs w:val="32"/>
        </w:rPr>
        <w:t>炎陵县地处湘赣边界井冈山西麓，属典型“老、少、边、穷”地区，也是国家罗霄</w:t>
      </w:r>
      <w:r>
        <w:rPr>
          <w:rFonts w:hint="eastAsia" w:ascii="仿宋_GB2312" w:eastAsia="仿宋_GB2312"/>
          <w:sz w:val="32"/>
          <w:szCs w:val="32"/>
        </w:rPr>
        <w:t>山脉连片特困地区扶贫开发县之一。全县2030平方公里，人口20.21万，辖5镇、5乡（其中瑶族乡1个）。</w:t>
      </w:r>
    </w:p>
    <w:p>
      <w:pPr>
        <w:ind w:firstLine="640" w:firstLineChars="200"/>
        <w:jc w:val="left"/>
        <w:rPr>
          <w:rFonts w:ascii="仿宋_GB2312" w:eastAsia="仿宋_GB2312"/>
          <w:sz w:val="32"/>
          <w:szCs w:val="32"/>
        </w:rPr>
      </w:pPr>
      <w:r>
        <w:rPr>
          <w:rFonts w:hint="eastAsia" w:ascii="仿宋_GB2312" w:eastAsia="仿宋_GB2312"/>
          <w:sz w:val="32"/>
          <w:szCs w:val="32"/>
        </w:rPr>
        <w:t>（二）农村特困人员救助供养基本情况简介。</w:t>
      </w:r>
    </w:p>
    <w:p>
      <w:pPr>
        <w:ind w:firstLine="640" w:firstLineChars="200"/>
        <w:jc w:val="left"/>
        <w:rPr>
          <w:rFonts w:ascii="仿宋_GB2312" w:eastAsia="仿宋_GB2312"/>
          <w:sz w:val="32"/>
          <w:szCs w:val="32"/>
        </w:rPr>
      </w:pPr>
      <w:r>
        <w:rPr>
          <w:rFonts w:hint="eastAsia" w:ascii="仿宋_GB2312" w:eastAsia="仿宋_GB2312"/>
          <w:sz w:val="32"/>
          <w:szCs w:val="32"/>
        </w:rPr>
        <w:t>国家对无劳动能力、无生活来源且无法定赡养、抚养、扶养义务人，或者法定赡养、抚养、扶养义务人无赡养、抚养、扶养能力的老年人、残疾人以及未满16周岁的未成年人，给予特困人员供养。供养内容包括：供给粮油、带领品和生活用燃料、供给服装、被褥等生活用品和零用钱，提供符合基本居住条件的住房，对生活不能自理的给予照料、提供疾病治疗、办理丧葬事宜等。</w:t>
      </w:r>
    </w:p>
    <w:p>
      <w:pPr>
        <w:ind w:firstLine="640" w:firstLineChars="200"/>
        <w:jc w:val="left"/>
        <w:rPr>
          <w:rFonts w:ascii="仿宋_GB2312" w:eastAsia="仿宋_GB2312"/>
          <w:sz w:val="32"/>
          <w:szCs w:val="32"/>
        </w:rPr>
      </w:pPr>
      <w:r>
        <w:rPr>
          <w:rFonts w:hint="eastAsia" w:ascii="仿宋_GB2312" w:eastAsia="仿宋_GB2312"/>
          <w:sz w:val="32"/>
          <w:szCs w:val="32"/>
        </w:rPr>
        <w:t>二、项目资金使用及管理</w:t>
      </w:r>
    </w:p>
    <w:p>
      <w:pPr>
        <w:ind w:firstLine="640" w:firstLineChars="200"/>
        <w:jc w:val="left"/>
        <w:rPr>
          <w:rFonts w:ascii="仿宋_GB2312" w:eastAsia="仿宋_GB2312"/>
          <w:sz w:val="32"/>
          <w:szCs w:val="32"/>
        </w:rPr>
      </w:pPr>
      <w:r>
        <w:rPr>
          <w:rFonts w:hint="eastAsia" w:ascii="仿宋_GB2312" w:eastAsia="仿宋_GB2312"/>
          <w:sz w:val="32"/>
          <w:szCs w:val="32"/>
        </w:rPr>
        <w:t>（一）2017年度全县农村特困人员救助供养资金全年总计380.4万元。其中上级专项376.2万元，本级安排4.2万元。2018年一至三季度，全县农村特困人员救助供养资金310.236万元，县级财政配套21万元。</w:t>
      </w:r>
    </w:p>
    <w:p>
      <w:pPr>
        <w:ind w:firstLine="640" w:firstLineChars="200"/>
        <w:jc w:val="left"/>
        <w:rPr>
          <w:rFonts w:ascii="仿宋_GB2312" w:eastAsia="仿宋_GB2312"/>
          <w:sz w:val="32"/>
          <w:szCs w:val="32"/>
        </w:rPr>
      </w:pPr>
      <w:r>
        <w:rPr>
          <w:rFonts w:hint="eastAsia" w:ascii="仿宋_GB2312" w:eastAsia="仿宋_GB2312"/>
          <w:sz w:val="32"/>
          <w:szCs w:val="32"/>
        </w:rPr>
        <w:t>（二）项目资金管理情况分析。</w:t>
      </w:r>
      <w:r>
        <w:rPr>
          <w:rFonts w:hint="eastAsia" w:ascii="微软雅黑" w:hAnsi="微软雅黑" w:eastAsia="微软雅黑"/>
          <w:color w:val="333333"/>
        </w:rPr>
        <w:t> </w:t>
      </w:r>
      <w:r>
        <w:rPr>
          <w:rFonts w:hint="eastAsia" w:ascii="仿宋_GB2312" w:eastAsia="仿宋_GB2312"/>
          <w:sz w:val="32"/>
          <w:szCs w:val="32"/>
        </w:rPr>
        <w:t>供养资金实行集中供养和分散供养差别化发放。对集中供养人员，将基本生活资金和照料护理资金一起全额拨付至乡镇敬老院，由敬老院统筹管理、使用；对分散供养人员，按供养标准直接发放至个人账户，对需要照料护理的分散供养人员，按照照料护理协议将照料护理费支付给受委托提供护理服务的机构、组织，或个人。对特困人员因病住院政策范围内进行全面救助，全额代缴医疗保险和基本养老保险个人承担部分。</w:t>
      </w:r>
    </w:p>
    <w:p>
      <w:pPr>
        <w:ind w:firstLine="320" w:firstLineChars="100"/>
        <w:jc w:val="left"/>
        <w:rPr>
          <w:rFonts w:ascii="仿宋_GB2312" w:eastAsia="仿宋_GB2312"/>
          <w:sz w:val="32"/>
          <w:szCs w:val="32"/>
        </w:rPr>
      </w:pPr>
      <w:r>
        <w:rPr>
          <w:rFonts w:hint="eastAsia" w:ascii="仿宋_GB2312" w:eastAsia="仿宋_GB2312"/>
          <w:sz w:val="32"/>
          <w:szCs w:val="32"/>
        </w:rPr>
        <w:t>三、项目组织实施情况</w:t>
      </w:r>
    </w:p>
    <w:p>
      <w:pPr>
        <w:adjustRightInd w:val="0"/>
        <w:snapToGrid w:val="0"/>
        <w:spacing w:line="490" w:lineRule="exact"/>
        <w:ind w:firstLine="640" w:firstLineChars="200"/>
        <w:rPr>
          <w:rFonts w:ascii="仿宋_GB2312" w:eastAsia="仿宋_GB2312" w:cs="Times New Roman"/>
          <w:sz w:val="32"/>
          <w:szCs w:val="32"/>
        </w:rPr>
      </w:pPr>
      <w:r>
        <w:rPr>
          <w:rFonts w:hint="eastAsia" w:ascii="楷体_GB2312" w:hAnsi="宋体" w:eastAsia="楷体_GB2312" w:cs="楷体_GB2312"/>
          <w:bCs/>
          <w:sz w:val="32"/>
          <w:szCs w:val="32"/>
        </w:rPr>
        <w:t>（一）是资金分配程序严格</w:t>
      </w:r>
      <w:r>
        <w:rPr>
          <w:rFonts w:hint="eastAsia" w:ascii="楷体_GB2312" w:hAnsi="宋体" w:eastAsia="楷体_GB2312" w:cs="楷体_GB2312"/>
          <w:b/>
          <w:bCs/>
          <w:sz w:val="32"/>
          <w:szCs w:val="32"/>
        </w:rPr>
        <w:t>。</w:t>
      </w:r>
      <w:r>
        <w:rPr>
          <w:rFonts w:hint="eastAsia" w:ascii="仿宋_GB2312" w:eastAsia="仿宋_GB2312" w:cs="仿宋_GB2312"/>
          <w:sz w:val="32"/>
          <w:szCs w:val="32"/>
        </w:rPr>
        <w:t>为确保专项经费的分配合理，发挥最大效能，我局成立了由局长、分管局长、相关业务股室、纪检监察室组成的民政专项资金监管小组，负责民政资金的分配和审核。通过严格的分配程序，避免了民政专项资金出现截留、挪用和挤占现象，使民政资金的分配得到有效监控。</w:t>
      </w:r>
    </w:p>
    <w:p>
      <w:pPr>
        <w:adjustRightInd w:val="0"/>
        <w:snapToGrid w:val="0"/>
        <w:spacing w:line="490" w:lineRule="exact"/>
        <w:ind w:firstLine="640" w:firstLineChars="200"/>
        <w:rPr>
          <w:rFonts w:ascii="仿宋_GB2312" w:eastAsia="仿宋_GB2312" w:cs="Times New Roman"/>
          <w:sz w:val="32"/>
          <w:szCs w:val="32"/>
        </w:rPr>
      </w:pPr>
      <w:r>
        <w:rPr>
          <w:rFonts w:hint="eastAsia" w:ascii="楷体_GB2312" w:hAnsi="宋体" w:eastAsia="楷体_GB2312" w:cs="楷体_GB2312"/>
          <w:bCs/>
          <w:sz w:val="32"/>
          <w:szCs w:val="32"/>
        </w:rPr>
        <w:t>（二）是资金拨付渠道畅通。</w:t>
      </w:r>
      <w:r>
        <w:rPr>
          <w:rFonts w:hint="eastAsia" w:ascii="仿宋_GB2312" w:eastAsia="仿宋_GB2312" w:cs="仿宋_GB2312"/>
          <w:sz w:val="32"/>
          <w:szCs w:val="32"/>
        </w:rPr>
        <w:t>县财政设立了社保资金专户，民政资金都通过社保专户下拨，确保了资金封闭运行，及时到位。农村特困的每笔资金发放都由民政局救助股出具农村特困对象补助发放名册，先送交县财政社保股审核无误后，再由社保专户拨付至民政专户，而后民政专户拨付至银行，通过银行将需发放的农村特困金额按照民政业务部门提供的花名册及时将各项救助低保金划转到各救助对象个人账户，救助对象凭身份证和存折直接到各银行网点领取农村特困补助。所有救助类别的资金都实行封闭运行，实现了社会化发放，全部通过银行直接划转到个人账户，保证了民政资金的及时准确到位。</w:t>
      </w:r>
    </w:p>
    <w:p>
      <w:pPr>
        <w:adjustRightInd w:val="0"/>
        <w:snapToGrid w:val="0"/>
        <w:spacing w:line="490" w:lineRule="exact"/>
        <w:ind w:firstLine="643" w:firstLineChars="200"/>
        <w:rPr>
          <w:rFonts w:ascii="仿宋_GB2312" w:eastAsia="仿宋_GB2312" w:cs="仿宋_GB2312"/>
          <w:sz w:val="32"/>
          <w:szCs w:val="32"/>
        </w:rPr>
      </w:pPr>
      <w:r>
        <w:rPr>
          <w:rFonts w:hint="eastAsia" w:ascii="楷体_GB2312" w:hAnsi="宋体" w:eastAsia="楷体_GB2312" w:cs="楷体_GB2312"/>
          <w:b/>
          <w:bCs/>
          <w:sz w:val="32"/>
          <w:szCs w:val="32"/>
        </w:rPr>
        <w:t>（三）</w:t>
      </w:r>
      <w:r>
        <w:rPr>
          <w:rFonts w:hint="eastAsia" w:ascii="楷体_GB2312" w:hAnsi="宋体" w:eastAsia="楷体_GB2312" w:cs="楷体_GB2312"/>
          <w:bCs/>
          <w:sz w:val="32"/>
          <w:szCs w:val="32"/>
        </w:rPr>
        <w:t>是资金监管办法得力。</w:t>
      </w:r>
      <w:r>
        <w:rPr>
          <w:rFonts w:hint="eastAsia" w:ascii="仿宋_GB2312" w:eastAsia="仿宋_GB2312" w:cs="仿宋_GB2312"/>
          <w:sz w:val="32"/>
          <w:szCs w:val="32"/>
        </w:rPr>
        <w:t>每年我们会同县财政、审计、监察等部门，对全县各项民政专项资金进行检查，我局采用定期与不定期的方式对五保资金等进行检查或抽查。</w:t>
      </w:r>
    </w:p>
    <w:p>
      <w:pPr>
        <w:ind w:firstLine="640" w:firstLineChars="200"/>
        <w:jc w:val="left"/>
        <w:rPr>
          <w:rFonts w:ascii="仿宋_GB2312" w:eastAsia="仿宋_GB2312"/>
          <w:sz w:val="32"/>
          <w:szCs w:val="32"/>
        </w:rPr>
      </w:pPr>
      <w:r>
        <w:rPr>
          <w:rFonts w:hint="eastAsia" w:ascii="仿宋_GB2312" w:eastAsia="仿宋_GB2312"/>
          <w:sz w:val="32"/>
          <w:szCs w:val="32"/>
        </w:rPr>
        <w:t>四、项目绩效情况</w:t>
      </w:r>
    </w:p>
    <w:p>
      <w:pPr>
        <w:ind w:firstLine="640" w:firstLineChars="200"/>
        <w:jc w:val="left"/>
        <w:rPr>
          <w:rFonts w:hint="eastAsia" w:ascii="仿宋_GB2312" w:eastAsia="仿宋_GB2312"/>
          <w:sz w:val="32"/>
          <w:szCs w:val="32"/>
        </w:rPr>
      </w:pPr>
      <w:r>
        <w:rPr>
          <w:rFonts w:hint="eastAsia" w:ascii="仿宋_GB2312" w:eastAsia="仿宋_GB2312"/>
          <w:sz w:val="32"/>
          <w:szCs w:val="32"/>
        </w:rPr>
        <w:t>特困人员救助供养，保障了特困人员的基本生活不受影响，住院医疗全额救助，代缴医疗保险、基本养老保险。使特困人员能够“老有所养、病有所医”。</w:t>
      </w: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炎陵县民政局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52A1"/>
    <w:rsid w:val="000C6EEE"/>
    <w:rsid w:val="002111F6"/>
    <w:rsid w:val="003A24A7"/>
    <w:rsid w:val="00401F38"/>
    <w:rsid w:val="00874568"/>
    <w:rsid w:val="00A22D91"/>
    <w:rsid w:val="00A97E47"/>
    <w:rsid w:val="00B352A1"/>
    <w:rsid w:val="00CE118A"/>
    <w:rsid w:val="00D30A7A"/>
    <w:rsid w:val="00D86BEC"/>
    <w:rsid w:val="00EC3742"/>
    <w:rsid w:val="00F93465"/>
    <w:rsid w:val="51EC098E"/>
    <w:rsid w:val="7EFC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Words>
  <Characters>1017</Characters>
  <Lines>8</Lines>
  <Paragraphs>2</Paragraphs>
  <TotalTime>78</TotalTime>
  <ScaleCrop>false</ScaleCrop>
  <LinksUpToDate>false</LinksUpToDate>
  <CharactersWithSpaces>1193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2018-08-17T07:23:00Z</dcterms:created>
  <dc:creator>Administrator</dc:creator>
  <cp:lastModifiedBy>Administrator</cp:lastModifiedBy>
  <cp:lastPrinted>2018-09-03T03:13:42Z</cp:lastPrinted>
  <dcterms:modified xsi:type="dcterms:W3CDTF">2018-09-03T03:14:52Z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