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bCs/>
          <w:kern w:val="0"/>
          <w:sz w:val="32"/>
          <w:szCs w:val="32"/>
        </w:rPr>
      </w:pPr>
      <w:r>
        <w:rPr>
          <w:rFonts w:hAnsi="黑体" w:eastAsia="黑体"/>
          <w:bCs/>
          <w:kern w:val="0"/>
          <w:sz w:val="32"/>
          <w:szCs w:val="32"/>
        </w:rPr>
        <w:t>附件</w:t>
      </w:r>
      <w:r>
        <w:rPr>
          <w:rFonts w:eastAsia="黑体"/>
          <w:bCs/>
          <w:kern w:val="0"/>
          <w:sz w:val="32"/>
          <w:szCs w:val="32"/>
        </w:rPr>
        <w:t>2</w:t>
      </w:r>
    </w:p>
    <w:p>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type="textWrapping"/>
      </w:r>
      <w:r>
        <w:rPr>
          <w:rFonts w:eastAsia="楷体_GB2312"/>
          <w:bCs/>
          <w:kern w:val="0"/>
          <w:sz w:val="32"/>
          <w:szCs w:val="32"/>
        </w:rPr>
        <w:t>（201</w:t>
      </w:r>
      <w:r>
        <w:rPr>
          <w:rFonts w:hint="eastAsia" w:eastAsia="楷体_GB2312"/>
          <w:bCs/>
          <w:kern w:val="0"/>
          <w:sz w:val="32"/>
          <w:szCs w:val="32"/>
        </w:rPr>
        <w:t>7</w:t>
      </w:r>
      <w:r>
        <w:rPr>
          <w:rFonts w:eastAsia="楷体_GB2312"/>
          <w:bCs/>
          <w:kern w:val="0"/>
          <w:sz w:val="32"/>
          <w:szCs w:val="32"/>
        </w:rPr>
        <w:t xml:space="preserve"> 年度）</w:t>
      </w:r>
    </w:p>
    <w:p>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Style w:val="7"/>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60"/>
        <w:gridCol w:w="1200"/>
        <w:gridCol w:w="585"/>
        <w:gridCol w:w="595"/>
        <w:gridCol w:w="15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880" w:type="dxa"/>
            <w:gridSpan w:val="5"/>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 w:val="21"/>
                <w:szCs w:val="21"/>
              </w:rPr>
            </w:pPr>
            <w:r>
              <w:rPr>
                <w:kern w:val="0"/>
                <w:sz w:val="21"/>
                <w:szCs w:val="21"/>
              </w:rPr>
              <w:t>部门（单位）名称：</w:t>
            </w:r>
          </w:p>
          <w:p>
            <w:pPr>
              <w:widowControl/>
              <w:spacing w:line="560" w:lineRule="exact"/>
              <w:rPr>
                <w:rFonts w:eastAsia="黑体"/>
                <w:kern w:val="0"/>
                <w:sz w:val="21"/>
                <w:szCs w:val="21"/>
              </w:rPr>
            </w:pPr>
            <w:r>
              <w:rPr>
                <w:rFonts w:eastAsia="黑体"/>
                <w:kern w:val="0"/>
                <w:sz w:val="21"/>
                <w:szCs w:val="21"/>
              </w:rPr>
              <w:t>　</w:t>
            </w:r>
            <w:r>
              <w:rPr>
                <w:rFonts w:hint="eastAsia" w:eastAsia="黑体"/>
                <w:kern w:val="0"/>
                <w:sz w:val="21"/>
                <w:szCs w:val="21"/>
                <w:lang w:val="en-US" w:eastAsia="zh-CN"/>
              </w:rPr>
              <w:t xml:space="preserve"> </w:t>
            </w:r>
            <w:r>
              <w:rPr>
                <w:rFonts w:hint="eastAsia" w:eastAsia="黑体"/>
                <w:kern w:val="0"/>
                <w:sz w:val="21"/>
                <w:szCs w:val="21"/>
                <w:lang w:eastAsia="zh-CN"/>
              </w:rPr>
              <w:t>炎陵县畜牧兽医水产局</w:t>
            </w:r>
          </w:p>
        </w:tc>
        <w:tc>
          <w:tcPr>
            <w:tcW w:w="4760" w:type="dxa"/>
            <w:gridSpan w:val="2"/>
            <w:tcBorders>
              <w:top w:val="single" w:color="auto" w:sz="4" w:space="0"/>
              <w:left w:val="single" w:color="auto" w:sz="4" w:space="0"/>
              <w:bottom w:val="single" w:color="auto" w:sz="4" w:space="0"/>
              <w:right w:val="single" w:color="auto" w:sz="4" w:space="0"/>
            </w:tcBorders>
            <w:vAlign w:val="bottom"/>
          </w:tcPr>
          <w:p>
            <w:pPr>
              <w:widowControl/>
              <w:spacing w:line="560" w:lineRule="exact"/>
              <w:rPr>
                <w:rFonts w:hint="eastAsia" w:eastAsia="宋体"/>
                <w:kern w:val="0"/>
                <w:sz w:val="21"/>
                <w:szCs w:val="21"/>
                <w:lang w:val="en-US" w:eastAsia="zh-CN"/>
              </w:rPr>
            </w:pPr>
            <w:r>
              <w:rPr>
                <w:kern w:val="0"/>
                <w:sz w:val="21"/>
                <w:szCs w:val="21"/>
              </w:rPr>
              <w:t>单位负责人：</w:t>
            </w:r>
            <w:r>
              <w:rPr>
                <w:rFonts w:hint="eastAsia"/>
                <w:kern w:val="0"/>
                <w:sz w:val="21"/>
                <w:szCs w:val="21"/>
                <w:lang w:eastAsia="zh-CN"/>
              </w:rPr>
              <w:t>罗双宝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285" w:type="dxa"/>
            <w:gridSpan w:val="4"/>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 w:val="21"/>
                <w:szCs w:val="21"/>
              </w:rPr>
            </w:pPr>
            <w:r>
              <w:rPr>
                <w:kern w:val="0"/>
                <w:sz w:val="21"/>
                <w:szCs w:val="21"/>
              </w:rPr>
              <w:t xml:space="preserve">年末职工人数： </w:t>
            </w:r>
            <w:r>
              <w:rPr>
                <w:rFonts w:hint="eastAsia"/>
                <w:kern w:val="0"/>
                <w:sz w:val="21"/>
                <w:szCs w:val="21"/>
                <w:lang w:val="en-US" w:eastAsia="zh-CN"/>
              </w:rPr>
              <w:t>55</w:t>
            </w:r>
            <w:r>
              <w:rPr>
                <w:kern w:val="0"/>
                <w:sz w:val="21"/>
                <w:szCs w:val="21"/>
              </w:rPr>
              <w:t xml:space="preserve">  人（人员编制： </w:t>
            </w:r>
            <w:r>
              <w:rPr>
                <w:rFonts w:hint="eastAsia"/>
                <w:kern w:val="0"/>
                <w:sz w:val="21"/>
                <w:szCs w:val="21"/>
                <w:lang w:val="en-US" w:eastAsia="zh-CN"/>
              </w:rPr>
              <w:t>69</w:t>
            </w:r>
            <w:r>
              <w:rPr>
                <w:kern w:val="0"/>
                <w:sz w:val="21"/>
                <w:szCs w:val="21"/>
              </w:rPr>
              <w:t xml:space="preserve"> 人）</w:t>
            </w:r>
          </w:p>
        </w:tc>
        <w:tc>
          <w:tcPr>
            <w:tcW w:w="5355" w:type="dxa"/>
            <w:gridSpan w:val="3"/>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 w:val="21"/>
                <w:szCs w:val="21"/>
              </w:rPr>
            </w:pPr>
            <w:r>
              <w:rPr>
                <w:kern w:val="0"/>
                <w:sz w:val="21"/>
                <w:szCs w:val="21"/>
              </w:rPr>
              <w:t>年末资产总额：</w:t>
            </w:r>
            <w:r>
              <w:rPr>
                <w:rFonts w:hint="eastAsia"/>
                <w:kern w:val="0"/>
                <w:sz w:val="21"/>
                <w:szCs w:val="21"/>
                <w:lang w:val="en-US" w:eastAsia="zh-CN"/>
              </w:rPr>
              <w:t>373.95</w:t>
            </w:r>
            <w:r>
              <w:rPr>
                <w:kern w:val="0"/>
                <w:sz w:val="21"/>
                <w:szCs w:val="21"/>
              </w:rPr>
              <w:t>万元；负债总额：</w:t>
            </w:r>
            <w:r>
              <w:rPr>
                <w:rFonts w:hint="eastAsia"/>
                <w:kern w:val="0"/>
                <w:sz w:val="21"/>
                <w:szCs w:val="21"/>
                <w:lang w:val="en-US" w:eastAsia="zh-CN"/>
              </w:rPr>
              <w:t>207.52</w:t>
            </w:r>
            <w:r>
              <w:rPr>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0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 w:val="21"/>
                <w:szCs w:val="21"/>
              </w:rPr>
            </w:pPr>
            <w:r>
              <w:rPr>
                <w:kern w:val="0"/>
                <w:sz w:val="21"/>
                <w:szCs w:val="21"/>
              </w:rPr>
              <w:t>年度预算收支情况</w:t>
            </w:r>
            <w:r>
              <w:rPr>
                <w:kern w:val="0"/>
                <w:sz w:val="21"/>
                <w:szCs w:val="21"/>
              </w:rPr>
              <w:br w:type="textWrapping"/>
            </w:r>
            <w:r>
              <w:rPr>
                <w:kern w:val="0"/>
                <w:sz w:val="21"/>
                <w:szCs w:val="21"/>
              </w:rPr>
              <w:t>（万元）</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eastAsia="宋体"/>
                <w:kern w:val="0"/>
                <w:sz w:val="21"/>
                <w:szCs w:val="21"/>
                <w:lang w:val="en-US" w:eastAsia="zh-CN"/>
              </w:rPr>
            </w:pPr>
            <w:r>
              <w:rPr>
                <w:kern w:val="0"/>
                <w:sz w:val="21"/>
                <w:szCs w:val="21"/>
              </w:rPr>
              <w:t>年初预算资金：</w:t>
            </w:r>
            <w:r>
              <w:rPr>
                <w:rFonts w:hint="eastAsia"/>
                <w:kern w:val="0"/>
                <w:sz w:val="21"/>
                <w:szCs w:val="21"/>
                <w:lang w:val="en-US" w:eastAsia="zh-CN"/>
              </w:rPr>
              <w:t>688.00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eastAsia="宋体"/>
                <w:kern w:val="0"/>
                <w:sz w:val="21"/>
                <w:szCs w:val="21"/>
                <w:lang w:val="en-US" w:eastAsia="zh-CN"/>
              </w:rPr>
            </w:pPr>
            <w:r>
              <w:rPr>
                <w:kern w:val="0"/>
                <w:sz w:val="21"/>
                <w:szCs w:val="21"/>
              </w:rPr>
              <w:t>年度收入总额：</w:t>
            </w:r>
            <w:r>
              <w:rPr>
                <w:rFonts w:hint="eastAsia"/>
                <w:kern w:val="0"/>
                <w:sz w:val="21"/>
                <w:szCs w:val="21"/>
                <w:lang w:val="en-US" w:eastAsia="zh-CN"/>
              </w:rPr>
              <w:t>981.92</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eastAsia="宋体"/>
                <w:kern w:val="0"/>
                <w:sz w:val="21"/>
                <w:szCs w:val="21"/>
                <w:lang w:val="en-US" w:eastAsia="zh-CN"/>
              </w:rPr>
            </w:pPr>
            <w:r>
              <w:rPr>
                <w:kern w:val="0"/>
                <w:sz w:val="21"/>
                <w:szCs w:val="21"/>
              </w:rPr>
              <w:t>年度支出总额：</w:t>
            </w:r>
            <w:r>
              <w:rPr>
                <w:rFonts w:hint="eastAsia"/>
                <w:kern w:val="0"/>
                <w:sz w:val="21"/>
                <w:szCs w:val="21"/>
                <w:lang w:val="en-US" w:eastAsia="zh-CN"/>
              </w:rPr>
              <w:t>995.92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105" w:firstLineChars="50"/>
              <w:jc w:val="left"/>
              <w:rPr>
                <w:rFonts w:hint="eastAsia" w:eastAsia="宋体"/>
                <w:kern w:val="0"/>
                <w:sz w:val="21"/>
                <w:szCs w:val="21"/>
                <w:lang w:val="en-US" w:eastAsia="zh-CN"/>
              </w:rPr>
            </w:pPr>
            <w:r>
              <w:rPr>
                <w:kern w:val="0"/>
                <w:sz w:val="21"/>
                <w:szCs w:val="21"/>
              </w:rPr>
              <w:t>其中：       公共财政拨款：</w:t>
            </w:r>
            <w:r>
              <w:rPr>
                <w:rFonts w:hint="eastAsia"/>
                <w:kern w:val="0"/>
                <w:sz w:val="21"/>
                <w:szCs w:val="21"/>
                <w:lang w:val="en-US" w:eastAsia="zh-CN"/>
              </w:rPr>
              <w:t>981.37</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eastAsia="宋体"/>
                <w:kern w:val="0"/>
                <w:sz w:val="21"/>
                <w:szCs w:val="21"/>
                <w:lang w:val="en-US" w:eastAsia="zh-CN"/>
              </w:rPr>
            </w:pPr>
            <w:r>
              <w:rPr>
                <w:kern w:val="0"/>
                <w:sz w:val="21"/>
                <w:szCs w:val="21"/>
              </w:rPr>
              <w:t>其中： 基本支出：</w:t>
            </w:r>
            <w:r>
              <w:rPr>
                <w:rFonts w:hint="eastAsia"/>
                <w:kern w:val="0"/>
                <w:sz w:val="21"/>
                <w:szCs w:val="21"/>
                <w:lang w:val="en-US" w:eastAsia="zh-CN"/>
              </w:rPr>
              <w:t>723.46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eastAsia="宋体"/>
                <w:kern w:val="0"/>
                <w:sz w:val="21"/>
                <w:szCs w:val="21"/>
                <w:lang w:val="en-US" w:eastAsia="zh-CN"/>
              </w:rPr>
            </w:pPr>
            <w:r>
              <w:rPr>
                <w:kern w:val="0"/>
                <w:sz w:val="21"/>
                <w:szCs w:val="21"/>
              </w:rPr>
              <w:t xml:space="preserve">            政府性基金拨款：</w:t>
            </w:r>
            <w:r>
              <w:rPr>
                <w:rFonts w:hint="eastAsia"/>
                <w:kern w:val="0"/>
                <w:sz w:val="21"/>
                <w:szCs w:val="21"/>
                <w:lang w:val="en-US" w:eastAsia="zh-CN"/>
              </w:rPr>
              <w:t>0</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kern w:val="0"/>
                <w:sz w:val="21"/>
                <w:szCs w:val="21"/>
                <w:lang w:val="en-US" w:eastAsia="zh-CN"/>
              </w:rPr>
            </w:pPr>
            <w:r>
              <w:rPr>
                <w:kern w:val="0"/>
                <w:sz w:val="21"/>
                <w:szCs w:val="21"/>
              </w:rPr>
              <w:t xml:space="preserve">       项目支出：</w:t>
            </w:r>
            <w:r>
              <w:rPr>
                <w:rFonts w:hint="eastAsia"/>
                <w:kern w:val="0"/>
                <w:sz w:val="21"/>
                <w:szCs w:val="21"/>
                <w:lang w:val="en-US" w:eastAsia="zh-CN"/>
              </w:rPr>
              <w:t>272.46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eastAsia="宋体"/>
                <w:kern w:val="0"/>
                <w:sz w:val="21"/>
                <w:szCs w:val="21"/>
                <w:lang w:val="en-US" w:eastAsia="zh-CN"/>
              </w:rPr>
            </w:pPr>
            <w:r>
              <w:rPr>
                <w:kern w:val="0"/>
                <w:sz w:val="21"/>
                <w:szCs w:val="21"/>
              </w:rPr>
              <w:t>纳入专户管理的非税收入拨款：</w:t>
            </w:r>
            <w:r>
              <w:rPr>
                <w:rFonts w:hint="eastAsia"/>
                <w:kern w:val="0"/>
                <w:sz w:val="21"/>
                <w:szCs w:val="21"/>
                <w:lang w:val="en-US" w:eastAsia="zh-CN"/>
              </w:rPr>
              <w:t>0</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 w:val="21"/>
                <w:szCs w:val="21"/>
              </w:rPr>
            </w:pPr>
            <w:r>
              <w:rPr>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eastAsia="宋体"/>
                <w:kern w:val="0"/>
                <w:sz w:val="21"/>
                <w:szCs w:val="21"/>
                <w:lang w:val="en-US" w:eastAsia="zh-CN"/>
              </w:rPr>
            </w:pPr>
            <w:r>
              <w:rPr>
                <w:kern w:val="0"/>
                <w:sz w:val="21"/>
                <w:szCs w:val="21"/>
              </w:rPr>
              <w:t xml:space="preserve">                  其他资金：</w:t>
            </w:r>
            <w:r>
              <w:rPr>
                <w:rFonts w:hint="eastAsia"/>
                <w:kern w:val="0"/>
                <w:sz w:val="21"/>
                <w:szCs w:val="21"/>
                <w:lang w:val="en-US" w:eastAsia="zh-CN"/>
              </w:rPr>
              <w:t>0.56</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jc w:val="center"/>
        </w:trPr>
        <w:tc>
          <w:tcPr>
            <w:tcW w:w="250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 w:val="21"/>
                <w:szCs w:val="21"/>
              </w:rPr>
            </w:pPr>
            <w:r>
              <w:rPr>
                <w:kern w:val="0"/>
                <w:sz w:val="21"/>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20" w:firstLineChars="200"/>
              <w:jc w:val="left"/>
              <w:rPr>
                <w:kern w:val="0"/>
                <w:sz w:val="21"/>
                <w:szCs w:val="21"/>
              </w:rPr>
            </w:pPr>
            <w:r>
              <w:rPr>
                <w:rFonts w:hint="eastAsia"/>
                <w:kern w:val="0"/>
                <w:sz w:val="21"/>
                <w:szCs w:val="21"/>
              </w:rPr>
              <w:t>炎陵县畜牧兽医水产局主要负责执行国家有关畜牧业法律、法规和方针政策；研究拟定全县畜牧水产业发展战略、中长期发展规划和年度计划，并组织实施；负责全县重大动物疫病的预防、控制和扑灭；负责全县动物防疫、动物及动物产品的检疫监督管理工作、兽药管理、种畜禽管理、饲料管理、水产行业等执法工作；负责全县畜禽良种的引进、繁育推广和种畜禽场的审报、监督管理工作；负责全县畜牧兽医新技术、新成果引进推广，开展科研、培训、学术交流工作；承办县委、县政府交办的其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250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 w:val="21"/>
                <w:szCs w:val="21"/>
              </w:rPr>
            </w:pPr>
            <w:r>
              <w:rPr>
                <w:kern w:val="0"/>
                <w:sz w:val="21"/>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numPr>
                <w:ilvl w:val="0"/>
                <w:numId w:val="1"/>
              </w:numPr>
              <w:spacing w:line="500" w:lineRule="exact"/>
              <w:rPr>
                <w:rFonts w:hint="eastAsia"/>
                <w:sz w:val="21"/>
                <w:szCs w:val="21"/>
                <w:lang w:eastAsia="zh-CN"/>
              </w:rPr>
            </w:pPr>
            <w:r>
              <w:rPr>
                <w:rFonts w:hint="eastAsia"/>
                <w:sz w:val="21"/>
                <w:szCs w:val="21"/>
                <w:lang w:eastAsia="zh-CN"/>
              </w:rPr>
              <w:t>加强组织领导，落实防控责任。全力做好春、秋两季集中免疫,确保免疫密度和免疫效果。加强规模养殖场监管，建立健全防疫制度。加强督促检查，确保措施到位。狠抓动物防疫，确保了养殖业生产健康发展。</w:t>
            </w:r>
          </w:p>
          <w:p>
            <w:pPr>
              <w:numPr>
                <w:ilvl w:val="0"/>
                <w:numId w:val="1"/>
              </w:numPr>
              <w:spacing w:line="500" w:lineRule="exact"/>
              <w:rPr>
                <w:rFonts w:hint="eastAsia"/>
                <w:sz w:val="21"/>
                <w:szCs w:val="21"/>
                <w:lang w:eastAsia="zh-CN"/>
              </w:rPr>
            </w:pPr>
            <w:r>
              <w:rPr>
                <w:rFonts w:hint="eastAsia"/>
                <w:sz w:val="21"/>
                <w:szCs w:val="21"/>
                <w:lang w:eastAsia="zh-CN"/>
              </w:rPr>
              <w:t>强化产地检疫，严格屠宰检疫，加强督察检查，加强兽药饲料监管，加大执法力度，确保了畜禽产品质量安全。</w:t>
            </w:r>
          </w:p>
          <w:p>
            <w:pPr>
              <w:spacing w:line="500" w:lineRule="exact"/>
              <w:rPr>
                <w:rFonts w:hint="eastAsia"/>
                <w:sz w:val="21"/>
                <w:szCs w:val="21"/>
                <w:lang w:eastAsia="zh-CN"/>
              </w:rPr>
            </w:pPr>
            <w:r>
              <w:rPr>
                <w:rFonts w:hint="eastAsia"/>
                <w:sz w:val="21"/>
                <w:szCs w:val="21"/>
                <w:lang w:val="en-US" w:eastAsia="zh-CN"/>
              </w:rPr>
              <w:t>3、</w:t>
            </w:r>
            <w:r>
              <w:rPr>
                <w:rFonts w:hint="eastAsia"/>
                <w:sz w:val="21"/>
                <w:szCs w:val="21"/>
                <w:lang w:eastAsia="zh-CN"/>
              </w:rPr>
              <w:t>抓好水产养殖，开展渔政执法。确保渔业资源的保护与利用。</w:t>
            </w:r>
          </w:p>
          <w:p>
            <w:pPr>
              <w:spacing w:line="500" w:lineRule="exact"/>
              <w:rPr>
                <w:rFonts w:hint="eastAsia"/>
                <w:sz w:val="21"/>
                <w:szCs w:val="21"/>
                <w:lang w:eastAsia="zh-CN"/>
              </w:rPr>
            </w:pPr>
            <w:r>
              <w:rPr>
                <w:rFonts w:hint="eastAsia"/>
                <w:sz w:val="21"/>
                <w:szCs w:val="21"/>
                <w:lang w:val="en-US" w:eastAsia="zh-CN"/>
              </w:rPr>
              <w:t>4、</w:t>
            </w:r>
            <w:r>
              <w:rPr>
                <w:rFonts w:hint="eastAsia"/>
                <w:sz w:val="21"/>
                <w:szCs w:val="21"/>
                <w:lang w:eastAsia="zh-CN"/>
              </w:rPr>
              <w:t>产业化建设全面推进，养殖效益显著提高。</w:t>
            </w:r>
          </w:p>
          <w:p>
            <w:pPr>
              <w:spacing w:line="500" w:lineRule="exact"/>
              <w:rPr>
                <w:rFonts w:hint="eastAsia"/>
                <w:sz w:val="21"/>
                <w:szCs w:val="21"/>
                <w:lang w:eastAsia="zh-CN"/>
              </w:rPr>
            </w:pPr>
            <w:r>
              <w:rPr>
                <w:rFonts w:hint="eastAsia"/>
                <w:sz w:val="21"/>
                <w:szCs w:val="21"/>
                <w:lang w:val="en-US" w:eastAsia="zh-CN"/>
              </w:rPr>
              <w:t>5</w:t>
            </w:r>
            <w:r>
              <w:rPr>
                <w:rFonts w:hint="eastAsia"/>
                <w:sz w:val="21"/>
                <w:szCs w:val="21"/>
                <w:lang w:eastAsia="zh-CN"/>
              </w:rPr>
              <w:t>积极开展城乡同治，全力治理养殖污染。</w:t>
            </w:r>
          </w:p>
          <w:p>
            <w:pPr>
              <w:numPr>
                <w:ilvl w:val="0"/>
                <w:numId w:val="2"/>
              </w:numPr>
              <w:spacing w:line="500" w:lineRule="exact"/>
              <w:rPr>
                <w:kern w:val="0"/>
                <w:sz w:val="21"/>
                <w:szCs w:val="21"/>
              </w:rPr>
            </w:pPr>
            <w:r>
              <w:rPr>
                <w:rFonts w:hint="eastAsia"/>
                <w:sz w:val="21"/>
                <w:szCs w:val="21"/>
                <w:lang w:eastAsia="zh-CN"/>
              </w:rPr>
              <w:t>开展技术培训，提高科技含量。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4" w:hRule="atLeast"/>
          <w:jc w:val="center"/>
        </w:trPr>
        <w:tc>
          <w:tcPr>
            <w:tcW w:w="250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 w:val="21"/>
                <w:szCs w:val="21"/>
              </w:rPr>
            </w:pPr>
            <w:r>
              <w:rPr>
                <w:kern w:val="0"/>
                <w:sz w:val="21"/>
                <w:szCs w:val="21"/>
              </w:rPr>
              <w:t>部门整体支出</w:t>
            </w:r>
          </w:p>
          <w:p>
            <w:pPr>
              <w:widowControl/>
              <w:spacing w:line="560" w:lineRule="exact"/>
              <w:jc w:val="center"/>
              <w:rPr>
                <w:kern w:val="0"/>
                <w:sz w:val="21"/>
                <w:szCs w:val="21"/>
              </w:rPr>
            </w:pPr>
            <w:r>
              <w:rPr>
                <w:kern w:val="0"/>
                <w:sz w:val="21"/>
                <w:szCs w:val="21"/>
              </w:rPr>
              <w:t>年度绩效指标</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 w:val="21"/>
                <w:szCs w:val="21"/>
              </w:rPr>
            </w:pPr>
            <w:r>
              <w:rPr>
                <w:kern w:val="0"/>
                <w:sz w:val="21"/>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sz w:val="21"/>
                <w:szCs w:val="21"/>
              </w:rPr>
            </w:pPr>
            <w:r>
              <w:rPr>
                <w:rFonts w:hint="eastAsia"/>
                <w:sz w:val="21"/>
                <w:szCs w:val="21"/>
              </w:rPr>
              <w:t>指标1：部门重点支出占部门整体支出大于90%</w:t>
            </w:r>
          </w:p>
          <w:p>
            <w:pPr>
              <w:spacing w:line="560" w:lineRule="exact"/>
              <w:rPr>
                <w:rFonts w:hint="eastAsia"/>
                <w:sz w:val="21"/>
                <w:szCs w:val="21"/>
              </w:rPr>
            </w:pPr>
            <w:r>
              <w:rPr>
                <w:rFonts w:hint="eastAsia"/>
                <w:sz w:val="21"/>
                <w:szCs w:val="21"/>
              </w:rPr>
              <w:t>指标2：三公经费增长率不超过10%</w:t>
            </w:r>
          </w:p>
          <w:p>
            <w:pPr>
              <w:spacing w:line="560" w:lineRule="exact"/>
              <w:rPr>
                <w:rFonts w:hint="eastAsia"/>
                <w:sz w:val="21"/>
                <w:szCs w:val="21"/>
              </w:rPr>
            </w:pPr>
            <w:r>
              <w:rPr>
                <w:rFonts w:hint="eastAsia"/>
                <w:sz w:val="21"/>
                <w:szCs w:val="21"/>
              </w:rPr>
              <w:t>指标3：部门整体支出支付进度与实施进度一致</w:t>
            </w:r>
          </w:p>
          <w:p>
            <w:pPr>
              <w:spacing w:line="560" w:lineRule="exact"/>
              <w:rPr>
                <w:rFonts w:hint="eastAsia"/>
                <w:sz w:val="21"/>
                <w:szCs w:val="21"/>
              </w:rPr>
            </w:pPr>
            <w:r>
              <w:rPr>
                <w:rFonts w:hint="eastAsia"/>
                <w:sz w:val="21"/>
                <w:szCs w:val="21"/>
              </w:rPr>
              <w:t>指标4：结转结余资金不超过上年结转结余</w:t>
            </w:r>
          </w:p>
          <w:p>
            <w:pPr>
              <w:spacing w:line="560" w:lineRule="exact"/>
              <w:rPr>
                <w:rFonts w:hint="eastAsia"/>
                <w:sz w:val="21"/>
                <w:szCs w:val="21"/>
              </w:rPr>
            </w:pPr>
            <w:r>
              <w:rPr>
                <w:rFonts w:hint="eastAsia"/>
                <w:sz w:val="21"/>
                <w:szCs w:val="21"/>
              </w:rPr>
              <w:t>指标5：部门预决算和三公经费决算公开</w:t>
            </w:r>
          </w:p>
          <w:p>
            <w:pPr>
              <w:spacing w:line="560" w:lineRule="exact"/>
              <w:rPr>
                <w:rFonts w:hint="eastAsia"/>
                <w:sz w:val="21"/>
                <w:szCs w:val="21"/>
              </w:rPr>
            </w:pPr>
            <w:r>
              <w:rPr>
                <w:rFonts w:hint="eastAsia"/>
                <w:sz w:val="21"/>
                <w:szCs w:val="21"/>
              </w:rPr>
              <w:t>指标6：支付采购执行率</w:t>
            </w:r>
          </w:p>
          <w:p>
            <w:pPr>
              <w:spacing w:line="560" w:lineRule="exact"/>
              <w:rPr>
                <w:kern w:val="0"/>
                <w:sz w:val="21"/>
                <w:szCs w:val="21"/>
              </w:rPr>
            </w:pPr>
            <w:r>
              <w:rPr>
                <w:rFonts w:hint="eastAsia"/>
                <w:sz w:val="21"/>
                <w:szCs w:val="21"/>
              </w:rPr>
              <w:t>指标7：重点工作办结率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 w:val="21"/>
                <w:szCs w:val="21"/>
              </w:rPr>
            </w:pPr>
            <w:r>
              <w:rPr>
                <w:kern w:val="0"/>
                <w:sz w:val="21"/>
                <w:szCs w:val="21"/>
              </w:rPr>
              <w:t>效益指标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rPr>
                <w:kern w:val="0"/>
                <w:sz w:val="21"/>
                <w:szCs w:val="21"/>
              </w:rPr>
            </w:pPr>
            <w:r>
              <w:rPr>
                <w:rFonts w:hint="eastAsia"/>
                <w:kern w:val="0"/>
                <w:sz w:val="21"/>
                <w:szCs w:val="21"/>
              </w:rPr>
              <w:t>指标</w:t>
            </w:r>
            <w:r>
              <w:rPr>
                <w:kern w:val="0"/>
                <w:sz w:val="21"/>
                <w:szCs w:val="21"/>
              </w:rPr>
              <w:t>1</w:t>
            </w:r>
            <w:r>
              <w:rPr>
                <w:rFonts w:hint="eastAsia"/>
                <w:kern w:val="0"/>
                <w:sz w:val="21"/>
                <w:szCs w:val="21"/>
              </w:rPr>
              <w:t>：</w:t>
            </w:r>
            <w:r>
              <w:rPr>
                <w:rFonts w:hint="eastAsia"/>
                <w:kern w:val="0"/>
                <w:sz w:val="21"/>
                <w:szCs w:val="21"/>
                <w:lang w:eastAsia="zh-CN"/>
              </w:rPr>
              <w:t>经济效益</w:t>
            </w:r>
          </w:p>
          <w:p>
            <w:pPr>
              <w:spacing w:line="560" w:lineRule="exact"/>
              <w:rPr>
                <w:kern w:val="0"/>
                <w:sz w:val="21"/>
                <w:szCs w:val="21"/>
              </w:rPr>
            </w:pPr>
            <w:r>
              <w:rPr>
                <w:rFonts w:hint="eastAsia"/>
                <w:kern w:val="0"/>
                <w:sz w:val="21"/>
                <w:szCs w:val="21"/>
              </w:rPr>
              <w:t>指标</w:t>
            </w:r>
            <w:r>
              <w:rPr>
                <w:kern w:val="0"/>
                <w:sz w:val="21"/>
                <w:szCs w:val="21"/>
              </w:rPr>
              <w:t>2</w:t>
            </w:r>
            <w:r>
              <w:rPr>
                <w:rFonts w:hint="eastAsia"/>
                <w:kern w:val="0"/>
                <w:sz w:val="21"/>
                <w:szCs w:val="21"/>
              </w:rPr>
              <w:t>：</w:t>
            </w:r>
            <w:r>
              <w:rPr>
                <w:rFonts w:hint="eastAsia"/>
                <w:kern w:val="0"/>
                <w:sz w:val="21"/>
                <w:szCs w:val="21"/>
                <w:lang w:eastAsia="zh-CN"/>
              </w:rPr>
              <w:t>社会效益</w:t>
            </w:r>
          </w:p>
          <w:p>
            <w:pPr>
              <w:spacing w:line="560" w:lineRule="exact"/>
              <w:rPr>
                <w:kern w:val="0"/>
                <w:sz w:val="21"/>
                <w:szCs w:val="21"/>
              </w:rPr>
            </w:pPr>
            <w:r>
              <w:rPr>
                <w:rFonts w:hint="eastAsia"/>
                <w:kern w:val="0"/>
                <w:sz w:val="21"/>
                <w:szCs w:val="21"/>
              </w:rPr>
              <w:t>指标</w:t>
            </w:r>
            <w:r>
              <w:rPr>
                <w:kern w:val="0"/>
                <w:sz w:val="21"/>
                <w:szCs w:val="21"/>
              </w:rPr>
              <w:t>3</w:t>
            </w:r>
            <w:r>
              <w:rPr>
                <w:rFonts w:hint="eastAsia"/>
                <w:kern w:val="0"/>
                <w:sz w:val="21"/>
                <w:szCs w:val="21"/>
              </w:rPr>
              <w:t>：</w:t>
            </w:r>
            <w:r>
              <w:rPr>
                <w:rFonts w:hint="eastAsia"/>
                <w:kern w:val="0"/>
                <w:sz w:val="21"/>
                <w:szCs w:val="21"/>
                <w:lang w:eastAsia="zh-CN"/>
              </w:rPr>
              <w:t>生态效益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2" w:hRule="atLeast"/>
          <w:jc w:val="center"/>
        </w:trPr>
        <w:tc>
          <w:tcPr>
            <w:tcW w:w="12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 w:val="21"/>
                <w:szCs w:val="21"/>
              </w:rPr>
            </w:pPr>
            <w:r>
              <w:rPr>
                <w:kern w:val="0"/>
                <w:sz w:val="21"/>
                <w:szCs w:val="21"/>
              </w:rPr>
              <w:t>单位自评情况分析及结论</w:t>
            </w:r>
          </w:p>
        </w:tc>
        <w:tc>
          <w:tcPr>
            <w:tcW w:w="8400" w:type="dxa"/>
            <w:gridSpan w:val="6"/>
            <w:tcBorders>
              <w:top w:val="single" w:color="auto" w:sz="4" w:space="0"/>
              <w:left w:val="single" w:color="auto" w:sz="4" w:space="0"/>
              <w:bottom w:val="single" w:color="auto" w:sz="4" w:space="0"/>
              <w:right w:val="single" w:color="auto" w:sz="4" w:space="0"/>
            </w:tcBorders>
            <w:vAlign w:val="top"/>
          </w:tcPr>
          <w:p>
            <w:pPr>
              <w:numPr>
                <w:ilvl w:val="0"/>
                <w:numId w:val="3"/>
              </w:numPr>
              <w:spacing w:line="560" w:lineRule="exact"/>
              <w:rPr>
                <w:kern w:val="0"/>
                <w:sz w:val="21"/>
                <w:szCs w:val="21"/>
              </w:rPr>
            </w:pPr>
            <w:r>
              <w:rPr>
                <w:kern w:val="0"/>
                <w:sz w:val="21"/>
                <w:szCs w:val="21"/>
              </w:rPr>
              <w:t>支出情况分析：</w:t>
            </w:r>
          </w:p>
          <w:p>
            <w:pPr>
              <w:numPr>
                <w:numId w:val="0"/>
              </w:numPr>
              <w:spacing w:line="560" w:lineRule="exact"/>
              <w:ind w:leftChars="0"/>
              <w:rPr>
                <w:rFonts w:hint="eastAsia"/>
                <w:kern w:val="0"/>
                <w:sz w:val="21"/>
                <w:szCs w:val="21"/>
              </w:rPr>
            </w:pPr>
            <w:r>
              <w:rPr>
                <w:rFonts w:hint="eastAsia"/>
                <w:kern w:val="0"/>
                <w:sz w:val="21"/>
                <w:szCs w:val="21"/>
              </w:rPr>
              <w:t xml:space="preserve"> </w:t>
            </w:r>
            <w:r>
              <w:rPr>
                <w:rFonts w:hint="eastAsia"/>
                <w:kern w:val="0"/>
                <w:sz w:val="21"/>
                <w:szCs w:val="21"/>
                <w:lang w:val="en-US" w:eastAsia="zh-CN"/>
              </w:rPr>
              <w:t xml:space="preserve">   </w:t>
            </w:r>
            <w:r>
              <w:rPr>
                <w:rFonts w:hint="eastAsia"/>
                <w:kern w:val="0"/>
                <w:sz w:val="21"/>
                <w:szCs w:val="21"/>
              </w:rPr>
              <w:t xml:space="preserve">2017年度收支决算总体情况。①2016年炎收入决算总额为10179213.36元，其中：当年财政拨款收入9813651.80元，其他收入5561.56元，上年结转资金360000.00元，收入决算总额较2016年减少544109.12元，降低5.1%，主要原因是本年专项资金减少。②2017年财政支出决算总额为10179213.36元，其中：社会保障和就业支出1488159.00元，医疗卫生与计划生育支出325416.00元，农林水支出7791466.36元，住房保障支出354172.00元，年末结转和结余220000.00元。支出决算总额较2016年减少544109.12元，降低5.1%，主要原因是本年专项资金减少。  </w:t>
            </w:r>
          </w:p>
          <w:p>
            <w:pPr>
              <w:numPr>
                <w:numId w:val="0"/>
              </w:numPr>
              <w:spacing w:line="560" w:lineRule="exact"/>
              <w:ind w:leftChars="0" w:firstLine="420" w:firstLineChars="200"/>
              <w:rPr>
                <w:rFonts w:hint="eastAsia"/>
                <w:kern w:val="0"/>
                <w:sz w:val="21"/>
                <w:szCs w:val="21"/>
              </w:rPr>
            </w:pPr>
            <w:r>
              <w:rPr>
                <w:rFonts w:hint="eastAsia"/>
                <w:kern w:val="0"/>
                <w:sz w:val="21"/>
                <w:szCs w:val="21"/>
              </w:rPr>
              <w:t>2017年度一般公共预算财政拨款支出情况。①基本支出7229019.80元，主要是用于炎陵县畜牧兽医水产局机关及乡镇动物防疫站正常运转的日常支出，包括基本工资、津贴补贴等人员经费以及办公费、印刷费、水电费、办公设备购置等日常公用经费，同比2016年增加3143011.3元，增长76.9%，主要原因是人员工资增加以及公用经费的调增。②项目支出2584632.00元，是炎陵县畜牧兽医水产局为完成特定的行政工作任务或事业发展目标，用于专项业务工作的经费支出，主要用于病虫害控制、畜禽水产品质量安全、技术推广、村级协防员劳务经费等，同比2016年减少3626628.00元，降低58.4%，主要原因是有较多的项目资金纳入扶贫统筹。</w:t>
            </w:r>
          </w:p>
          <w:p>
            <w:pPr>
              <w:numPr>
                <w:numId w:val="0"/>
              </w:numPr>
              <w:spacing w:line="560" w:lineRule="exact"/>
              <w:ind w:leftChars="0" w:firstLine="420" w:firstLineChars="200"/>
              <w:rPr>
                <w:rFonts w:hint="eastAsia"/>
                <w:kern w:val="0"/>
                <w:sz w:val="21"/>
                <w:szCs w:val="21"/>
              </w:rPr>
            </w:pPr>
            <w:r>
              <w:rPr>
                <w:rFonts w:hint="eastAsia"/>
                <w:kern w:val="0"/>
                <w:sz w:val="21"/>
                <w:szCs w:val="21"/>
              </w:rPr>
              <w:t>2017年度“三公”经费合计支出52263.00元，其中公务用车运行维护费0元（公车改革后单位公务用车1辆拍卖做国有资产处置，1辆调拨到公车服务平台公司，实际单位无公务用车），公务接待费52263元（接待批次62次，人数332人），因公出国（境）0元。三公经费与2016年相比，下降61281.00元，降幅达56.28%。主要原因是公务用车改革后单位公务用车运行维护费减少。</w:t>
            </w:r>
          </w:p>
          <w:p>
            <w:pPr>
              <w:numPr>
                <w:numId w:val="0"/>
              </w:numPr>
              <w:spacing w:line="560" w:lineRule="exact"/>
              <w:ind w:leftChars="0"/>
              <w:rPr>
                <w:rFonts w:hint="eastAsia"/>
                <w:kern w:val="0"/>
                <w:sz w:val="21"/>
                <w:szCs w:val="21"/>
              </w:rPr>
            </w:pPr>
            <w:r>
              <w:rPr>
                <w:rFonts w:hint="eastAsia"/>
                <w:kern w:val="0"/>
                <w:sz w:val="21"/>
                <w:szCs w:val="21"/>
              </w:rPr>
              <w:t>4、2017年度机关运行经费决算情况。炎陵县畜牧兽医水产局2017年使用一般公共预算财政拨款安排的基本支出中，履行一般行政管理职能、维持机关日常运转而开支的机关运行经费合计7229019.80元，比2016年增加3143011.3元，增长76.9%，主要原因是人员工资增加以及公用经费的调增。</w:t>
            </w:r>
          </w:p>
          <w:p>
            <w:pPr>
              <w:numPr>
                <w:numId w:val="0"/>
              </w:numPr>
              <w:spacing w:line="560" w:lineRule="exact"/>
              <w:ind w:leftChars="0"/>
              <w:rPr>
                <w:kern w:val="0"/>
                <w:sz w:val="21"/>
                <w:szCs w:val="21"/>
              </w:rPr>
            </w:pPr>
            <w:r>
              <w:rPr>
                <w:rFonts w:hint="eastAsia"/>
                <w:kern w:val="0"/>
                <w:sz w:val="21"/>
                <w:szCs w:val="21"/>
              </w:rPr>
              <w:t>5、2017年度政府采购支出决算情况。2017年本部门政府采购0批次，支出总额0万元，其中：政府采购货物支出0万元、政府采购工程支出0万元、政府采购服务支出0万元。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jc w:val="center"/>
        </w:trPr>
        <w:tc>
          <w:tcPr>
            <w:tcW w:w="1240" w:type="dxa"/>
            <w:vMerge w:val="continue"/>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8400" w:type="dxa"/>
            <w:gridSpan w:val="6"/>
            <w:tcBorders>
              <w:top w:val="single" w:color="auto" w:sz="4" w:space="0"/>
              <w:left w:val="single" w:color="auto" w:sz="4" w:space="0"/>
              <w:bottom w:val="single" w:color="auto" w:sz="4" w:space="0"/>
              <w:right w:val="single" w:color="auto" w:sz="4" w:space="0"/>
            </w:tcBorders>
            <w:vAlign w:val="top"/>
          </w:tcPr>
          <w:p>
            <w:pPr>
              <w:numPr>
                <w:ilvl w:val="0"/>
                <w:numId w:val="3"/>
              </w:numPr>
              <w:spacing w:line="560" w:lineRule="exact"/>
              <w:rPr>
                <w:kern w:val="0"/>
                <w:sz w:val="21"/>
                <w:szCs w:val="21"/>
              </w:rPr>
            </w:pPr>
            <w:r>
              <w:rPr>
                <w:kern w:val="0"/>
                <w:sz w:val="21"/>
                <w:szCs w:val="21"/>
              </w:rPr>
              <w:t>绩效目标完成情况分析：</w:t>
            </w:r>
          </w:p>
          <w:p>
            <w:pPr>
              <w:numPr>
                <w:numId w:val="0"/>
              </w:numPr>
              <w:spacing w:line="560" w:lineRule="exact"/>
              <w:ind w:leftChars="0" w:firstLine="420" w:firstLineChars="200"/>
              <w:rPr>
                <w:rFonts w:hint="eastAsia"/>
                <w:kern w:val="0"/>
                <w:sz w:val="21"/>
                <w:szCs w:val="21"/>
              </w:rPr>
            </w:pPr>
            <w:r>
              <w:rPr>
                <w:rFonts w:hint="eastAsia"/>
                <w:kern w:val="0"/>
                <w:sz w:val="21"/>
                <w:szCs w:val="21"/>
              </w:rPr>
              <w:t>养殖业发展情况。全年共发展牲猪23.78万头。其中出栏16.08万头，比去年增长7.77%；发展牛2.21万头，比去年增长3.93%；发展羊1.03万只，比去年增长15.7%；发展家禽200.25万羽，其中出笼134.75万羽，比去年增长了16.52%；水产品产量1245吨，比去年增长7.7%。全年牧业、渔业总产量增长7%左右，待市县统计部门核调后，预计全年牧业增加值可达3.7%左右，渔业增加值4%左右。有望高于全市平均水平，在全县一产业发展中处于领先位置。</w:t>
            </w:r>
          </w:p>
          <w:p>
            <w:pPr>
              <w:numPr>
                <w:numId w:val="0"/>
              </w:numPr>
              <w:spacing w:line="560" w:lineRule="exact"/>
              <w:ind w:leftChars="0" w:firstLine="420" w:firstLineChars="200"/>
              <w:rPr>
                <w:rFonts w:hint="eastAsia"/>
                <w:kern w:val="0"/>
                <w:sz w:val="21"/>
                <w:szCs w:val="21"/>
              </w:rPr>
            </w:pPr>
            <w:r>
              <w:rPr>
                <w:rFonts w:hint="eastAsia"/>
                <w:kern w:val="0"/>
                <w:sz w:val="21"/>
                <w:szCs w:val="21"/>
              </w:rPr>
              <w:t>固定资产快速增长。今年，我县突出抓好养殖小区、特色养殖、粪污处理设施等重大项目建设方面的投资，固定资产投资保持快速增长的态势。全年县考核任务为3876万元，增速16%。实际完成   4908万元，增速已达46.9%，超额完成任务。其中炎陵白鹅产业发展及配套体系建设为市县重点项目，已完成投资3800万元，预计年内将超额完成，项目攻坚各项目标全面实现。</w:t>
            </w:r>
          </w:p>
          <w:p>
            <w:pPr>
              <w:numPr>
                <w:numId w:val="0"/>
              </w:numPr>
              <w:spacing w:line="560" w:lineRule="exact"/>
              <w:ind w:leftChars="0" w:firstLine="420" w:firstLineChars="200"/>
              <w:rPr>
                <w:rFonts w:hint="eastAsia"/>
                <w:kern w:val="0"/>
                <w:sz w:val="21"/>
                <w:szCs w:val="21"/>
              </w:rPr>
            </w:pPr>
            <w:r>
              <w:rPr>
                <w:rFonts w:hint="eastAsia"/>
                <w:kern w:val="0"/>
                <w:sz w:val="21"/>
                <w:szCs w:val="21"/>
              </w:rPr>
              <w:t>“民生100”工程通过认定。病死畜禽无害化处理中心建设从2016年起就已纳入市、县“民生100”工程，选址选了一年多。直到今年4月底才上县政府常务会确定建设资金及运行模式。正启动建设之时遇国家环保督察，所选建设地址又被市县环保部门否决，之前所有前期工作都推倒重来，又历经4个月重新选址。按照市政府专题会议“特事特办，边办边建”的要求，我们一边重新开展可研、规划、立项、设计、环评等前期工作，一边抓紧征地、采购设备、办理相关手续，同时抢抓时间启动建设。9月中旬开始土地平整，11月初正式动工，目前厂房与办公楼已完工，设备马上进厂安装。占地面积2020㎡，日处理能力达6吨，总投资500余万元的病死畜禽无害化处理中心基本建成，本月底可试运行。县“民生100”考核办已到建设现场进行了认定。</w:t>
            </w:r>
          </w:p>
          <w:p>
            <w:pPr>
              <w:numPr>
                <w:numId w:val="0"/>
              </w:numPr>
              <w:spacing w:line="560" w:lineRule="exact"/>
              <w:ind w:leftChars="0" w:firstLine="420" w:firstLineChars="200"/>
              <w:rPr>
                <w:rFonts w:hint="eastAsia"/>
                <w:kern w:val="0"/>
                <w:sz w:val="21"/>
                <w:szCs w:val="21"/>
              </w:rPr>
            </w:pPr>
            <w:r>
              <w:rPr>
                <w:rFonts w:hint="eastAsia"/>
                <w:kern w:val="0"/>
                <w:sz w:val="21"/>
                <w:szCs w:val="21"/>
              </w:rPr>
              <w:t>质量安全工作全面落实。（1）、强化重大动物疫病防控。一是扎实做好春秋两季防疫工作。重大动物疫病强制免疫到户率达到100％，各项抗体水平均达标，全县未发生重大动物疫情。二是强力防控H7N9流感。积极应对县外疫情，落实全县所有活禽休市21天，开展活禽调入检查、紧急流行病学调查和日常采样监测等防控工作，确保了县内未发生疫情。（2）、加强养殖业安全生产监管。一是举办养殖业安全生产培训3期，培训执法人员100余人次，从业人员200余人次。推行监管痕迹化，质量安全可追溯。二是开展3次安全生产全面大排查、大整改，下达整改通知46份，提出安全措施60条，整改安全隐患12处，全县未发生养殖业安全生产责任事故。三是规范养殖投入品行为，开展兽药、农资、“瘦肉精”、水产品禁用药物及有毒有害物质等专项整治行动，执法监管工作常态化。经省市对相关肉品、蛋类、饲料、兽药、尿样等抽检，全部合格。确保全县肉品质量安全。</w:t>
            </w:r>
          </w:p>
          <w:p>
            <w:pPr>
              <w:numPr>
                <w:numId w:val="0"/>
              </w:numPr>
              <w:spacing w:line="560" w:lineRule="exact"/>
              <w:ind w:leftChars="0" w:firstLine="420" w:firstLineChars="200"/>
              <w:rPr>
                <w:rFonts w:hint="eastAsia"/>
                <w:kern w:val="0"/>
                <w:sz w:val="21"/>
                <w:szCs w:val="21"/>
              </w:rPr>
            </w:pPr>
            <w:r>
              <w:rPr>
                <w:rFonts w:hint="eastAsia"/>
                <w:kern w:val="0"/>
                <w:sz w:val="21"/>
                <w:szCs w:val="21"/>
              </w:rPr>
              <w:t>环境保护工作全力推进。（1）、及时处理养殖业突出环境问题和信访举报。全年共受理养殖业污染投诉、信访问题23件，通过及时到现场调查核实处理，联合环保局等相关部门共同应对，目前信访问题基本得到稳控，彻底解决14件。（2）、科学划定“三区”推进禁养区关停和搬迁工作。在2016年全县畜禽养殖布局规划的基础上，按照更科学更合理的原则，重新调整了我县禁养区、限养区和适养区范围。年内我们开展了禁养区专项治理行动，对禁养区养殖场开展地毯式排查，排查出禁养区畜禽养殖场24家，组织关停规模养殖场2家、养殖专业户3家，全面完成省市考核指标，并为来年禁养区的全面关停打下基础。（3）、认真落实粪污治理工作措施。深入养殖场核查建立养殖台账，审验环评手续与《排污许可证》、核发《动物防疫条件合格证》；开展规模养殖场粪污治理指导和服务，把规模养殖场粪污处理设施建设纳入中央财政现代农业生猪产业项目和县级“一带八基地建设”等项目；积极推广种养结合、粪污资源化利用方式。年内完善了25家规模养殖场粪污处理配套设备设施，经环保与市考核认定全县规模畜禽养殖场配套建设粪污贮存、处理、利用设施比例达到79.6%，高于市考核指标近10个百分点。（4）、积极开展贫困村养殖污染专项治理工作。为全面提升农村环境质量，做好脱贫摘帽迎检工作，以县扶贫开发领导小组名义下发了贫困村畜禽养殖污染专项治理工作文件，形成了工作落实机制，建立贫困村污染治理工作台账，制定畜禽养殖污染专项治理“一场一方案”，着重指导养殖场完善了“两分三池一棚”以及临时应急设施，基本确保畜禽养殖场无粪污直接外排、无异味散发、无蚊蝇飞舞等情况发生。（5）、认真推广异味发酵床技术。已选定了2家开展试验示范工作，将试验纳入基层农技推广项目进行实施。</w:t>
            </w:r>
          </w:p>
          <w:p>
            <w:pPr>
              <w:numPr>
                <w:numId w:val="0"/>
              </w:numPr>
              <w:spacing w:line="560" w:lineRule="exact"/>
              <w:ind w:leftChars="0" w:firstLine="420" w:firstLineChars="200"/>
              <w:rPr>
                <w:rFonts w:hint="eastAsia"/>
                <w:kern w:val="0"/>
                <w:sz w:val="21"/>
                <w:szCs w:val="21"/>
              </w:rPr>
            </w:pPr>
            <w:r>
              <w:rPr>
                <w:rFonts w:hint="eastAsia"/>
                <w:kern w:val="0"/>
                <w:sz w:val="21"/>
                <w:szCs w:val="21"/>
              </w:rPr>
              <w:t>动物卫生监督执法工作认真开展。通过开展分阶段重点整治活动，全面提升产地、屠宰检疫率。今年全县共检疫生猪17752头，禽类产品254.2吨，瘦肉精尿样检测1164份，检测结果皆成阴性。对年存栏一定量的养殖户采取动态管理，强化日常监管，及时通过湖南省动物卫生监督信息平台上传监管信息。着重加强了规模养殖场病死畜禽与死亡能繁母猪无害化处理监管及屠宰、流通、加工等环节的监管，防止了病死畜禽进入屠宰、加工环节，杜绝病死畜禽及其制品进入市场。</w:t>
            </w:r>
          </w:p>
          <w:p>
            <w:pPr>
              <w:numPr>
                <w:numId w:val="0"/>
              </w:numPr>
              <w:spacing w:line="560" w:lineRule="exact"/>
              <w:ind w:leftChars="0" w:firstLine="420" w:firstLineChars="200"/>
              <w:rPr>
                <w:rFonts w:hint="eastAsia"/>
                <w:kern w:val="0"/>
                <w:sz w:val="21"/>
                <w:szCs w:val="21"/>
              </w:rPr>
            </w:pPr>
            <w:r>
              <w:rPr>
                <w:rFonts w:hint="eastAsia"/>
                <w:kern w:val="0"/>
                <w:sz w:val="21"/>
                <w:szCs w:val="21"/>
              </w:rPr>
              <w:t>渔政管理全面加强。开展不定期的执法检查，实行渔政执法值班制，组织晚上渔政巡逻检查100人次，查处电鱼案件2起，依法处理违法人员5人，有力的打击了非法“电、毒、炸”鱼等破坏渔业资源的违法行为。全面完成“三证合一”，严格控制捕捞强度和渔船数量，全县捕捞船只全部完成换证工作。抓好渔业安全生产监管，落实安全生产责任，全面排查整改渔业安全生产问题，确保我县的渔业生产安全。开展增殖放流活动，6月份我局组织开展“养护渔业资源，创建生态文明”为主题的增殖放流活动，在斜濑水、河漠水、沔水等水域共投放各类鱼种300万尾。在全面完成省市对县的绩效考核各项任务同时，积极落实县委政府各项考核工作任务，全年重点项目、“企业帮扶年”、国家卫生县城复审、综治维稳、政务公开、优化经济发展环境、县长热线等工作全面完成任务，并取得较好成效。</w:t>
            </w:r>
          </w:p>
          <w:p>
            <w:pPr>
              <w:numPr>
                <w:numId w:val="0"/>
              </w:numPr>
              <w:spacing w:line="560" w:lineRule="exact"/>
              <w:ind w:leftChars="0" w:firstLine="420" w:firstLineChars="200"/>
              <w:rPr>
                <w:kern w:val="0"/>
                <w:sz w:val="21"/>
                <w:szCs w:val="21"/>
              </w:rPr>
            </w:pPr>
            <w:r>
              <w:rPr>
                <w:rFonts w:hint="eastAsia"/>
                <w:kern w:val="0"/>
                <w:sz w:val="21"/>
                <w:szCs w:val="21"/>
              </w:rPr>
              <w:t>主动作为，全力推进养殖业扶贫工作。我局发挥技术、信息优势，积极为贫困户提供各种养殖技术帮助。为224户贫困户安排了专门的技术人员进行一对一的技术帮扶。在贫困村举办养殖技术培训班6期，培训人员320余人次。投入近10万元，编印了养殖扶贫技术手册2.1万册。今年为10个贫困村养殖扶贫项目提前介入，把好选址、引种、防疫关。全县投放到养殖业的扶贫项目资金在3500万元以上，惠及贫困户2571户，贫困人口8203人。其中福来喜鹅业公司接收产业委托帮扶项目资金946万元，帮扶建档立卡贫困户1378户，带动贫困人口达到4656人。全县共有8家养殖企业吸纳了152户贫困户小额信贷资金入股，入股资金506万元，每年为贫困户增加收入50.6万元。在全县整合涉农资金用于扶贫工作的基础上，我局还将现代农业生猪发展、一带八基地、养殖业救灾补助、基层农技推广补助等项目资金共计437万元，主要用于养殖业扶贫工作。积极为养殖企业和贫困户牵线搭桥，促成土地流转搞养殖。全县有18家养殖企业共流转贫困户土地800余亩，惠及贫困户226户，每年每户增加收入1170元。在养殖业用工上，尽量优先安排贫困人口，全县在养殖企业务工的贫困人口152人，每人每年收入2.5万元以上，可帮助140余户贫困家庭脱贫，实现就业一人全家脱贫目标。我局在54个贫困村帮助指导了239户养殖户进行“两分三池一棚”建设，共投入治污资金建1124万元。通过养殖污染专项整治，使贫困村卫生环境明显改善、村民生活质量明显提高。在搞好养殖业扶贫工作的同时，认真落实鹿原镇星火村的扶贫工作责任：一是安排两名脱产干部驻村帮扶，一名副科实职干部为队长。二是组织全局干部一对一帮扶，23名干部职工与45户建档立卡贫困户建立帮扶责任。三是认真实施“七个一批”“六大工程”项目，实现所有扶贫政策全覆盖。四是积极组织职工扶贫捐款，投入贫困户鱼苗、鸡、鸭等种养种苗费达6万余元。五是深入开展“四走访四包干三签字”“三同五好”等主题活动，得到群众认可。通过大家共同努力，全局所对接的贫困户都实现“一超过两不愁三保障”，三率一度全部达标，正以充满信心迎接国家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240" w:type="dxa"/>
            <w:vMerge w:val="continue"/>
            <w:tcBorders>
              <w:top w:val="single" w:color="auto" w:sz="4" w:space="0"/>
              <w:left w:val="single" w:color="auto" w:sz="4" w:space="0"/>
              <w:bottom w:val="single" w:color="auto" w:sz="4" w:space="0"/>
              <w:right w:val="single" w:color="auto" w:sz="4" w:space="0"/>
            </w:tcBorders>
            <w:vAlign w:val="center"/>
          </w:tcPr>
          <w:p>
            <w:pPr>
              <w:rPr>
                <w:sz w:val="21"/>
                <w:szCs w:val="21"/>
              </w:rPr>
            </w:pPr>
          </w:p>
        </w:tc>
        <w:tc>
          <w:tcPr>
            <w:tcW w:w="8400" w:type="dxa"/>
            <w:gridSpan w:val="6"/>
            <w:tcBorders>
              <w:top w:val="single" w:color="auto" w:sz="4" w:space="0"/>
              <w:left w:val="single" w:color="auto" w:sz="4" w:space="0"/>
              <w:bottom w:val="single" w:color="auto" w:sz="4" w:space="0"/>
              <w:right w:val="single" w:color="auto" w:sz="4" w:space="0"/>
            </w:tcBorders>
            <w:vAlign w:val="top"/>
          </w:tcPr>
          <w:p>
            <w:pPr>
              <w:numPr>
                <w:ilvl w:val="0"/>
                <w:numId w:val="3"/>
              </w:numPr>
              <w:spacing w:line="560" w:lineRule="exact"/>
              <w:rPr>
                <w:kern w:val="0"/>
                <w:sz w:val="21"/>
                <w:szCs w:val="21"/>
              </w:rPr>
            </w:pPr>
            <w:r>
              <w:rPr>
                <w:kern w:val="0"/>
                <w:sz w:val="21"/>
                <w:szCs w:val="21"/>
              </w:rPr>
              <w:t>自我评价结论：</w:t>
            </w:r>
          </w:p>
          <w:p>
            <w:pPr>
              <w:widowControl/>
              <w:numPr>
                <w:ilvl w:val="0"/>
                <w:numId w:val="0"/>
              </w:numPr>
              <w:spacing w:line="540" w:lineRule="exact"/>
              <w:ind w:leftChars="0" w:firstLine="420"/>
              <w:jc w:val="left"/>
              <w:rPr>
                <w:kern w:val="0"/>
                <w:sz w:val="21"/>
                <w:szCs w:val="21"/>
              </w:rPr>
            </w:pPr>
            <w:r>
              <w:rPr>
                <w:rFonts w:hint="eastAsia"/>
                <w:kern w:val="0"/>
                <w:sz w:val="21"/>
                <w:szCs w:val="21"/>
                <w:lang w:val="en-US" w:eastAsia="zh-CN"/>
              </w:rPr>
              <w:t>2017年的项目按期完成顺利通过验收，各项年初绩效目标基本实现，经济和社会效益有所提高，项目组织管理和财务管理基本健全规范，未发生违法违规问题。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 w:val="21"/>
                <w:szCs w:val="21"/>
              </w:rPr>
            </w:pPr>
            <w:r>
              <w:rPr>
                <w:kern w:val="0"/>
                <w:sz w:val="21"/>
                <w:szCs w:val="21"/>
              </w:rPr>
              <w:t>存在的问题</w:t>
            </w:r>
          </w:p>
        </w:tc>
        <w:tc>
          <w:tcPr>
            <w:tcW w:w="8400" w:type="dxa"/>
            <w:gridSpan w:val="6"/>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left"/>
              <w:rPr>
                <w:kern w:val="0"/>
                <w:sz w:val="21"/>
                <w:szCs w:val="21"/>
              </w:rPr>
            </w:pPr>
            <w:r>
              <w:rPr>
                <w:rFonts w:hint="eastAsia"/>
                <w:kern w:val="0"/>
                <w:sz w:val="21"/>
                <w:szCs w:val="21"/>
              </w:rPr>
              <w:t>回顾201</w:t>
            </w:r>
            <w:r>
              <w:rPr>
                <w:rFonts w:hint="eastAsia"/>
                <w:kern w:val="0"/>
                <w:sz w:val="21"/>
                <w:szCs w:val="21"/>
                <w:lang w:val="en-US" w:eastAsia="zh-CN"/>
              </w:rPr>
              <w:t>7</w:t>
            </w:r>
            <w:r>
              <w:rPr>
                <w:rFonts w:hint="eastAsia"/>
                <w:kern w:val="0"/>
                <w:sz w:val="21"/>
                <w:szCs w:val="21"/>
              </w:rPr>
              <w:t>年，我们取得可喜的成绩，但也存在一些问题和不足，主要表现在以下几个方面：一是产业化发展水平不高，带动能力不强。龙头企业融资困难，发展规模难以迅速壮大，农村专业合作组织合作化程度不高，受各种条件限制，没有较好发挥带动功能。二是争取上级资金扶持力度有待加强。尽管今年我们争资跑项上取得了可喜成绩，但与其他发展基础较好的县、市比仍有差距，争资跑项的方法有待改进，力度需要加大。三是动物防疫体系建设有待进一步加强。新时期全社会对动物防疫体系的建设和完善提出了更高的要求，我们仍需继续在队伍、设施建设上下苦功夫，进一步争取县委、县政府的重视，加大资金投入，从而加快炎陵县畜牧兽医水产事业健康稳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 w:val="21"/>
                <w:szCs w:val="21"/>
              </w:rPr>
            </w:pPr>
            <w:r>
              <w:rPr>
                <w:kern w:val="0"/>
                <w:sz w:val="21"/>
                <w:szCs w:val="21"/>
              </w:rPr>
              <w:t>改进措施与建议</w:t>
            </w:r>
          </w:p>
        </w:tc>
        <w:tc>
          <w:tcPr>
            <w:tcW w:w="8400" w:type="dxa"/>
            <w:gridSpan w:val="6"/>
            <w:tcBorders>
              <w:top w:val="single" w:color="auto" w:sz="4" w:space="0"/>
              <w:left w:val="single" w:color="auto" w:sz="4" w:space="0"/>
              <w:bottom w:val="single" w:color="auto" w:sz="4" w:space="0"/>
              <w:right w:val="single" w:color="auto" w:sz="4" w:space="0"/>
            </w:tcBorders>
            <w:vAlign w:val="bottom"/>
          </w:tcPr>
          <w:p>
            <w:pPr>
              <w:spacing w:line="560" w:lineRule="exact"/>
              <w:ind w:firstLine="420"/>
              <w:jc w:val="both"/>
              <w:rPr>
                <w:kern w:val="0"/>
                <w:sz w:val="21"/>
                <w:szCs w:val="21"/>
              </w:rPr>
            </w:pPr>
            <w:r>
              <w:rPr>
                <w:rFonts w:hint="eastAsia"/>
                <w:kern w:val="0"/>
                <w:sz w:val="21"/>
                <w:szCs w:val="21"/>
                <w:lang w:val="en-US" w:eastAsia="zh-CN"/>
              </w:rPr>
              <w:t>一是龙头企业融资困难，农村专业合作组织合作化成都不高，建议加大信贷力度。二是上级资金扶持力度有待加强，建议上级加大对我县畜牧业的扶持力度。三是动物防疫体系不够完善，建议增加资金投入，并与其它相关部门协调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 w:val="21"/>
                <w:szCs w:val="21"/>
              </w:rPr>
            </w:pPr>
            <w:r>
              <w:rPr>
                <w:kern w:val="0"/>
                <w:sz w:val="21"/>
                <w:szCs w:val="21"/>
              </w:rPr>
              <w:t>财政部门审核意见</w:t>
            </w:r>
          </w:p>
        </w:tc>
        <w:tc>
          <w:tcPr>
            <w:tcW w:w="8400" w:type="dxa"/>
            <w:gridSpan w:val="6"/>
            <w:tcBorders>
              <w:top w:val="single" w:color="auto" w:sz="4" w:space="0"/>
              <w:left w:val="single" w:color="auto" w:sz="4" w:space="0"/>
              <w:bottom w:val="single" w:color="auto" w:sz="4" w:space="0"/>
              <w:right w:val="single" w:color="auto" w:sz="4" w:space="0"/>
            </w:tcBorders>
            <w:vAlign w:val="bottom"/>
          </w:tcPr>
          <w:p>
            <w:pPr>
              <w:spacing w:line="560" w:lineRule="exact"/>
              <w:ind w:firstLine="4095" w:firstLineChars="1950"/>
              <w:jc w:val="right"/>
              <w:rPr>
                <w:kern w:val="0"/>
                <w:sz w:val="21"/>
                <w:szCs w:val="21"/>
              </w:rPr>
            </w:pPr>
            <w:r>
              <w:rPr>
                <w:kern w:val="0"/>
                <w:sz w:val="21"/>
                <w:szCs w:val="21"/>
              </w:rPr>
              <w:t xml:space="preserve">（盖章）                                     </w:t>
            </w:r>
            <w:r>
              <w:rPr>
                <w:kern w:val="0"/>
                <w:sz w:val="21"/>
                <w:szCs w:val="21"/>
              </w:rPr>
              <w:br w:type="textWrapping"/>
            </w:r>
            <w:r>
              <w:rPr>
                <w:kern w:val="0"/>
                <w:sz w:val="21"/>
                <w:szCs w:val="21"/>
              </w:rPr>
              <w:t xml:space="preserve">                                        年    月    日</w:t>
            </w:r>
          </w:p>
        </w:tc>
      </w:tr>
    </w:tbl>
    <w:p>
      <w:pPr>
        <w:widowControl/>
        <w:tabs>
          <w:tab w:val="left" w:pos="1333"/>
          <w:tab w:val="left" w:pos="3793"/>
          <w:tab w:val="left" w:pos="5853"/>
        </w:tabs>
        <w:spacing w:line="560" w:lineRule="exact"/>
        <w:jc w:val="left"/>
        <w:rPr>
          <w:rFonts w:hint="eastAsia" w:eastAsia="宋体"/>
          <w:kern w:val="0"/>
          <w:szCs w:val="21"/>
          <w:lang w:val="en-US" w:eastAsia="zh-CN"/>
        </w:rPr>
      </w:pPr>
      <w:r>
        <w:rPr>
          <w:kern w:val="0"/>
          <w:szCs w:val="21"/>
        </w:rPr>
        <w:t>填报人：</w:t>
      </w:r>
      <w:r>
        <w:rPr>
          <w:rFonts w:hint="eastAsia"/>
          <w:kern w:val="0"/>
          <w:szCs w:val="21"/>
          <w:lang w:eastAsia="zh-CN"/>
        </w:rPr>
        <w:t>晏嘉</w:t>
      </w:r>
      <w:r>
        <w:rPr>
          <w:kern w:val="0"/>
          <w:szCs w:val="21"/>
        </w:rPr>
        <w:t xml:space="preserve">            联系电话：</w:t>
      </w:r>
      <w:r>
        <w:rPr>
          <w:rFonts w:hint="eastAsia"/>
          <w:kern w:val="0"/>
          <w:szCs w:val="21"/>
          <w:lang w:val="en-US" w:eastAsia="zh-CN"/>
        </w:rPr>
        <w:t>18108428813</w:t>
      </w:r>
      <w:r>
        <w:rPr>
          <w:kern w:val="0"/>
          <w:szCs w:val="21"/>
        </w:rPr>
        <w:t xml:space="preserve">         填报日期：</w:t>
      </w:r>
      <w:r>
        <w:rPr>
          <w:rFonts w:hint="eastAsia"/>
          <w:kern w:val="0"/>
          <w:szCs w:val="21"/>
          <w:lang w:val="en-US" w:eastAsia="zh-CN"/>
        </w:rPr>
        <w:t>2018年8月3日</w:t>
      </w:r>
    </w:p>
    <w:p>
      <w:pPr>
        <w:rPr>
          <w:rFonts w:hint="eastAsia"/>
        </w:rPr>
      </w:pPr>
    </w:p>
    <w:p>
      <w:pPr>
        <w:rPr>
          <w:rFonts w:hint="eastAsia"/>
        </w:rPr>
      </w:pPr>
    </w:p>
    <w:p>
      <w:pPr>
        <w:rPr>
          <w:rFonts w:hint="eastAsia"/>
        </w:rPr>
      </w:pPr>
    </w:p>
    <w:p>
      <w:pPr>
        <w:sectPr>
          <w:footerReference r:id="rId3" w:type="default"/>
          <w:pgSz w:w="11906" w:h="16838"/>
          <w:pgMar w:top="1440" w:right="1797" w:bottom="1440" w:left="1797" w:header="851" w:footer="1474" w:gutter="0"/>
          <w:pgNumType w:fmt="numberInDash"/>
          <w:cols w:space="425" w:num="1"/>
          <w:docGrid w:type="linesAndChars" w:linePitch="312" w:charSpace="0"/>
        </w:sectPr>
      </w:pPr>
    </w:p>
    <w:p>
      <w:pPr>
        <w:spacing w:line="560" w:lineRule="exact"/>
        <w:rPr>
          <w:rFonts w:ascii="黑体" w:hAnsi="黑体" w:eastAsia="黑体"/>
          <w:kern w:val="0"/>
          <w:sz w:val="30"/>
          <w:szCs w:val="30"/>
        </w:rPr>
      </w:pPr>
      <w:bookmarkStart w:id="0" w:name="RANGE!A1:H22"/>
      <w:r>
        <w:rPr>
          <w:rFonts w:ascii="黑体" w:hAnsi="黑体" w:eastAsia="黑体"/>
          <w:kern w:val="0"/>
          <w:sz w:val="30"/>
          <w:szCs w:val="30"/>
        </w:rPr>
        <w:t>附件</w:t>
      </w:r>
      <w:bookmarkEnd w:id="0"/>
      <w:r>
        <w:rPr>
          <w:rFonts w:ascii="黑体" w:hAnsi="黑体" w:eastAsia="黑体"/>
          <w:kern w:val="0"/>
          <w:sz w:val="30"/>
          <w:szCs w:val="30"/>
        </w:rPr>
        <w:t>3</w:t>
      </w:r>
    </w:p>
    <w:p>
      <w:pPr>
        <w:spacing w:line="560" w:lineRule="exact"/>
        <w:jc w:val="center"/>
        <w:rPr>
          <w:rFonts w:eastAsia="方正小标宋简体"/>
          <w:sz w:val="36"/>
          <w:szCs w:val="36"/>
        </w:rPr>
      </w:pPr>
      <w:r>
        <w:rPr>
          <w:rFonts w:eastAsia="方正小标宋简体"/>
          <w:sz w:val="36"/>
          <w:szCs w:val="36"/>
        </w:rPr>
        <w:t>部门整体支出绩效评价指标评分表</w:t>
      </w:r>
    </w:p>
    <w:p>
      <w:pPr>
        <w:spacing w:line="560" w:lineRule="exact"/>
        <w:jc w:val="center"/>
        <w:rPr>
          <w:rFonts w:eastAsia="方正小标宋简体"/>
          <w:sz w:val="36"/>
          <w:szCs w:val="36"/>
        </w:rPr>
      </w:pPr>
    </w:p>
    <w:tbl>
      <w:tblPr>
        <w:tblStyle w:val="7"/>
        <w:tblW w:w="13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794"/>
        <w:gridCol w:w="4140"/>
        <w:gridCol w:w="343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评价得分</w:t>
            </w:r>
          </w:p>
          <w:p>
            <w:pPr>
              <w:widowControl/>
              <w:jc w:val="center"/>
              <w:rPr>
                <w:rFonts w:eastAsia="黑体"/>
                <w:bCs/>
                <w:kern w:val="0"/>
                <w:szCs w:val="21"/>
              </w:rPr>
            </w:pPr>
            <w:r>
              <w:rPr>
                <w:rFonts w:eastAsia="黑体"/>
                <w:bCs/>
                <w:kern w:val="0"/>
                <w:szCs w:val="21"/>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4"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绩效目标合理性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①符合国家法律法规、国民经济和社会发展总体规划，计1分；</w:t>
            </w:r>
          </w:p>
          <w:p>
            <w:pPr>
              <w:widowControl/>
              <w:jc w:val="left"/>
              <w:rPr>
                <w:rFonts w:eastAsia="仿宋_GB2312"/>
                <w:kern w:val="0"/>
                <w:szCs w:val="21"/>
              </w:rPr>
            </w:pPr>
            <w:r>
              <w:rPr>
                <w:rFonts w:eastAsia="仿宋_GB2312"/>
                <w:kern w:val="0"/>
                <w:szCs w:val="21"/>
              </w:rPr>
              <w:t>②符合部门“三定”方案确定的职责，计1分；</w:t>
            </w:r>
          </w:p>
          <w:p>
            <w:pPr>
              <w:widowControl/>
              <w:jc w:val="left"/>
              <w:rPr>
                <w:rFonts w:eastAsia="仿宋_GB2312"/>
                <w:kern w:val="0"/>
                <w:szCs w:val="21"/>
              </w:rPr>
            </w:pPr>
            <w:r>
              <w:rPr>
                <w:rFonts w:eastAsia="仿宋_GB2312"/>
                <w:kern w:val="0"/>
                <w:szCs w:val="21"/>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lang w:val="en-US" w:eastAsia="zh-CN"/>
              </w:rPr>
              <w:t xml:space="preserve">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2"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绩效指标明确性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①将部门整体的绩效目标细化分解为具体的工作任务，计1分；</w:t>
            </w:r>
          </w:p>
          <w:p>
            <w:pPr>
              <w:widowControl/>
              <w:jc w:val="left"/>
              <w:rPr>
                <w:rFonts w:eastAsia="仿宋_GB2312"/>
                <w:kern w:val="0"/>
                <w:szCs w:val="21"/>
              </w:rPr>
            </w:pPr>
            <w:r>
              <w:rPr>
                <w:rFonts w:eastAsia="仿宋_GB2312"/>
                <w:kern w:val="0"/>
                <w:szCs w:val="21"/>
              </w:rPr>
              <w:t>②通过清晰、可衡量的指标值予以体现，计1分；</w:t>
            </w:r>
          </w:p>
          <w:p>
            <w:pPr>
              <w:widowControl/>
              <w:jc w:val="left"/>
              <w:rPr>
                <w:rFonts w:eastAsia="仿宋_GB2312"/>
                <w:kern w:val="0"/>
                <w:szCs w:val="21"/>
              </w:rPr>
            </w:pPr>
            <w:r>
              <w:rPr>
                <w:rFonts w:eastAsia="仿宋_GB2312"/>
                <w:kern w:val="0"/>
                <w:szCs w:val="21"/>
              </w:rPr>
              <w:t>③绩效指标与部门年度的任务数和计划数相对应，计1分；</w:t>
            </w:r>
          </w:p>
          <w:p>
            <w:pPr>
              <w:widowControl/>
              <w:jc w:val="left"/>
              <w:rPr>
                <w:rFonts w:eastAsia="仿宋_GB2312"/>
                <w:kern w:val="0"/>
                <w:szCs w:val="21"/>
              </w:rPr>
            </w:pPr>
            <w:r>
              <w:rPr>
                <w:rFonts w:eastAsia="仿宋_GB2312"/>
                <w:kern w:val="0"/>
                <w:szCs w:val="21"/>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lang w:val="en-US" w:eastAsia="zh-CN"/>
              </w:rPr>
              <w:t xml:space="preserve"> 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财政供养人员</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在职人员控制率=（在职人员数/编制数）×100%，在职人员数：部门（单位）实际在职人数，以财政部门确定的部门决算编制口径为准。</w:t>
            </w:r>
            <w:r>
              <w:rPr>
                <w:rFonts w:eastAsia="仿宋_GB2312"/>
                <w:kern w:val="0"/>
                <w:szCs w:val="21"/>
              </w:rPr>
              <w:br w:type="textWrapping"/>
            </w:r>
            <w:r>
              <w:rPr>
                <w:rFonts w:eastAsia="仿宋_GB2312"/>
                <w:kern w:val="0"/>
                <w:szCs w:val="21"/>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0"/>
                <w:lang w:val="en-US" w:eastAsia="zh-CN"/>
              </w:rPr>
            </w:pPr>
            <w:r>
              <w:rPr>
                <w:rFonts w:hint="eastAsia" w:ascii="仿宋_GB2312" w:eastAsia="仿宋_GB2312" w:cs="宋体"/>
                <w:kern w:val="0"/>
                <w:sz w:val="20"/>
              </w:rPr>
              <w:t>　</w:t>
            </w:r>
            <w:r>
              <w:rPr>
                <w:rFonts w:hint="eastAsia" w:ascii="仿宋_GB2312" w:eastAsia="仿宋_GB2312" w:cs="宋体"/>
                <w:kern w:val="0"/>
                <w:sz w:val="20"/>
                <w:lang w:val="en-US" w:eastAsia="zh-CN"/>
              </w:rPr>
              <w:t>4分</w:t>
            </w:r>
          </w:p>
          <w:p>
            <w:pPr>
              <w:widowControl/>
              <w:jc w:val="left"/>
              <w:rPr>
                <w:kern w:val="0"/>
                <w:szCs w:val="21"/>
              </w:rPr>
            </w:pPr>
            <w:r>
              <w:rPr>
                <w:rFonts w:hint="eastAsia" w:ascii="仿宋_GB2312" w:eastAsia="仿宋_GB2312" w:cs="宋体"/>
                <w:kern w:val="0"/>
                <w:sz w:val="20"/>
                <w:lang w:val="en-US" w:eastAsia="zh-CN"/>
              </w:rPr>
              <w:t>（</w:t>
            </w:r>
            <w:r>
              <w:rPr>
                <w:rFonts w:hint="eastAsia" w:ascii="仿宋_GB2312" w:eastAsia="仿宋_GB2312" w:cs="宋体"/>
                <w:kern w:val="0"/>
                <w:sz w:val="20"/>
                <w:lang w:eastAsia="zh-CN"/>
              </w:rPr>
              <w:t>实有在职人数</w:t>
            </w:r>
            <w:r>
              <w:rPr>
                <w:rFonts w:hint="eastAsia" w:ascii="仿宋_GB2312" w:eastAsia="仿宋_GB2312" w:cs="宋体"/>
                <w:kern w:val="0"/>
                <w:sz w:val="20"/>
                <w:lang w:val="en-US" w:eastAsia="zh-CN"/>
              </w:rPr>
              <w:t>55/编制数69</w:t>
            </w:r>
            <w:r>
              <w:rPr>
                <w:rFonts w:hint="eastAsia" w:ascii="仿宋_GB2312" w:eastAsia="仿宋_GB2312" w:cs="宋体"/>
                <w:kern w:val="0"/>
                <w:sz w:val="20"/>
              </w:rPr>
              <w:t>×100%</w:t>
            </w:r>
            <w:r>
              <w:rPr>
                <w:rFonts w:hint="eastAsia" w:ascii="仿宋_GB2312" w:eastAsia="仿宋_GB2312" w:cs="宋体"/>
                <w:kern w:val="0"/>
                <w:sz w:val="2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变动率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“三公经费”变动率=[（本年度“三公经费”总额-上年度“三公经费”总额）/上年度“三公经费”总额]×100%。</w:t>
            </w:r>
            <w:r>
              <w:rPr>
                <w:rFonts w:eastAsia="仿宋_GB2312"/>
                <w:kern w:val="0"/>
                <w:szCs w:val="21"/>
              </w:rPr>
              <w:br w:type="textWrapping"/>
            </w:r>
            <w:r>
              <w:rPr>
                <w:rFonts w:eastAsia="仿宋_GB2312"/>
                <w:kern w:val="0"/>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　</w:t>
            </w:r>
            <w:r>
              <w:rPr>
                <w:rFonts w:hint="eastAsia" w:ascii="仿宋_GB2312" w:eastAsia="仿宋_GB2312" w:cs="宋体"/>
                <w:kern w:val="0"/>
                <w:sz w:val="20"/>
                <w:lang w:val="en-US" w:eastAsia="zh-CN"/>
              </w:rPr>
              <w:t>4分</w:t>
            </w:r>
          </w:p>
          <w:p>
            <w:pPr>
              <w:widowControl/>
              <w:jc w:val="left"/>
              <w:rPr>
                <w:kern w:val="0"/>
                <w:szCs w:val="21"/>
              </w:rPr>
            </w:pPr>
            <w:r>
              <w:rPr>
                <w:rFonts w:hint="eastAsia" w:ascii="仿宋_GB2312" w:eastAsia="仿宋_GB2312" w:cs="宋体"/>
                <w:kern w:val="0"/>
                <w:sz w:val="20"/>
                <w:lang w:val="en-US" w:eastAsia="zh-CN"/>
              </w:rPr>
              <w:t>[</w:t>
            </w:r>
            <w:r>
              <w:rPr>
                <w:rFonts w:hint="eastAsia" w:ascii="仿宋_GB2312" w:eastAsia="仿宋_GB2312" w:cs="宋体"/>
                <w:kern w:val="0"/>
                <w:sz w:val="20"/>
                <w:lang w:eastAsia="zh-CN"/>
              </w:rPr>
              <w:t>（</w:t>
            </w:r>
            <w:r>
              <w:rPr>
                <w:rFonts w:hint="eastAsia" w:ascii="仿宋_GB2312" w:eastAsia="仿宋_GB2312" w:cs="宋体"/>
                <w:kern w:val="0"/>
                <w:sz w:val="20"/>
                <w:lang w:val="en-US" w:eastAsia="zh-CN"/>
              </w:rPr>
              <w:t>2017年“三公经费”总额52263-2016年“三公经费”总额119544</w:t>
            </w:r>
            <w:r>
              <w:rPr>
                <w:rFonts w:hint="eastAsia" w:ascii="仿宋_GB2312" w:eastAsia="仿宋_GB2312" w:cs="宋体"/>
                <w:kern w:val="0"/>
                <w:sz w:val="20"/>
                <w:lang w:eastAsia="zh-CN"/>
              </w:rPr>
              <w:t>）</w:t>
            </w:r>
            <w:r>
              <w:rPr>
                <w:rFonts w:hint="eastAsia" w:ascii="仿宋_GB2312" w:eastAsia="仿宋_GB2312" w:cs="宋体"/>
                <w:kern w:val="0"/>
                <w:sz w:val="20"/>
                <w:lang w:val="en-US" w:eastAsia="zh-CN"/>
              </w:rPr>
              <w:t>/119544]</w:t>
            </w:r>
            <w:r>
              <w:rPr>
                <w:rFonts w:hint="eastAsia" w:ascii="仿宋_GB2312" w:eastAsia="仿宋_GB2312" w:cs="宋体"/>
                <w:kern w:val="0"/>
                <w:sz w:val="20"/>
              </w:rPr>
              <w:t>×100%</w:t>
            </w:r>
            <w:r>
              <w:rPr>
                <w:rFonts w:hint="eastAsia" w:ascii="仿宋_GB2312" w:eastAsia="仿宋_GB2312" w:cs="宋体"/>
                <w:kern w:val="0"/>
                <w:sz w:val="20"/>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1"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重点支出</w:t>
            </w:r>
            <w:r>
              <w:rPr>
                <w:rFonts w:eastAsia="仿宋_GB2312"/>
                <w:kern w:val="0"/>
                <w:szCs w:val="21"/>
              </w:rPr>
              <w:br w:type="textWrapping"/>
            </w:r>
            <w:r>
              <w:rPr>
                <w:rFonts w:eastAsia="仿宋_GB2312"/>
                <w:kern w:val="0"/>
                <w:szCs w:val="21"/>
              </w:rPr>
              <w:t>安排率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重点支出安排率≥90%，计4分；</w:t>
            </w:r>
            <w:r>
              <w:rPr>
                <w:rFonts w:eastAsia="仿宋_GB2312"/>
                <w:kern w:val="0"/>
                <w:szCs w:val="21"/>
              </w:rPr>
              <w:br w:type="textWrapping"/>
            </w:r>
            <w:r>
              <w:rPr>
                <w:rFonts w:eastAsia="仿宋_GB2312"/>
                <w:kern w:val="0"/>
                <w:szCs w:val="21"/>
              </w:rPr>
              <w:t>80%（含）-90%，计3分；</w:t>
            </w:r>
            <w:r>
              <w:rPr>
                <w:rFonts w:eastAsia="仿宋_GB2312"/>
                <w:kern w:val="0"/>
                <w:szCs w:val="21"/>
              </w:rPr>
              <w:br w:type="textWrapping"/>
            </w:r>
            <w:r>
              <w:rPr>
                <w:rFonts w:eastAsia="仿宋_GB2312"/>
                <w:kern w:val="0"/>
                <w:szCs w:val="21"/>
              </w:rPr>
              <w:t>70%（含）-80%，计2分；</w:t>
            </w:r>
            <w:r>
              <w:rPr>
                <w:rFonts w:eastAsia="仿宋_GB2312"/>
                <w:kern w:val="0"/>
                <w:szCs w:val="21"/>
              </w:rPr>
              <w:br w:type="textWrapping"/>
            </w:r>
            <w:r>
              <w:rPr>
                <w:rFonts w:eastAsia="仿宋_GB2312"/>
                <w:kern w:val="0"/>
                <w:szCs w:val="21"/>
              </w:rPr>
              <w:t>60%（含）-70%，计1分；</w:t>
            </w:r>
            <w:r>
              <w:rPr>
                <w:rFonts w:eastAsia="仿宋_GB2312"/>
                <w:kern w:val="0"/>
                <w:szCs w:val="21"/>
              </w:rPr>
              <w:br w:type="textWrapping"/>
            </w:r>
            <w:r>
              <w:rPr>
                <w:rFonts w:eastAsia="仿宋_GB2312"/>
                <w:kern w:val="0"/>
                <w:szCs w:val="21"/>
              </w:rPr>
              <w:t>低于60%不得分。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重点支出安排率=（重点项目支出/项目总支出）×100%</w:t>
            </w:r>
            <w:r>
              <w:rPr>
                <w:rFonts w:eastAsia="仿宋_GB2312"/>
                <w:kern w:val="0"/>
                <w:szCs w:val="21"/>
              </w:rPr>
              <w:br w:type="textWrapping"/>
            </w:r>
            <w:r>
              <w:rPr>
                <w:rFonts w:eastAsia="仿宋_GB2312"/>
                <w:kern w:val="0"/>
                <w:szCs w:val="21"/>
              </w:rPr>
              <w:t>重点项目支出：市委、市政府确定的为民办实事和部门重点工程与重点工作支出。</w:t>
            </w:r>
            <w:r>
              <w:rPr>
                <w:rFonts w:eastAsia="仿宋_GB2312"/>
                <w:kern w:val="0"/>
                <w:szCs w:val="21"/>
              </w:rPr>
              <w:br w:type="textWrapping"/>
            </w:r>
            <w:r>
              <w:rPr>
                <w:rFonts w:eastAsia="仿宋_GB2312"/>
                <w:kern w:val="0"/>
                <w:szCs w:val="21"/>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lang w:val="en-US" w:eastAsia="zh-CN"/>
              </w:rPr>
              <w:t xml:space="preserve"> 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预算调整率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预算调整率=0，计4分；</w:t>
            </w:r>
            <w:r>
              <w:rPr>
                <w:rFonts w:eastAsia="仿宋_GB2312"/>
                <w:kern w:val="0"/>
                <w:szCs w:val="21"/>
              </w:rPr>
              <w:br w:type="textWrapping"/>
            </w:r>
            <w:r>
              <w:rPr>
                <w:rFonts w:eastAsia="仿宋_GB2312"/>
                <w:kern w:val="0"/>
                <w:szCs w:val="21"/>
              </w:rPr>
              <w:t>0-10%（含），计3分；</w:t>
            </w:r>
            <w:r>
              <w:rPr>
                <w:rFonts w:eastAsia="仿宋_GB2312"/>
                <w:kern w:val="0"/>
                <w:szCs w:val="21"/>
              </w:rPr>
              <w:br w:type="textWrapping"/>
            </w:r>
            <w:r>
              <w:rPr>
                <w:rFonts w:eastAsia="仿宋_GB2312"/>
                <w:kern w:val="0"/>
                <w:szCs w:val="21"/>
              </w:rPr>
              <w:t>10-20%（含），计2分；</w:t>
            </w:r>
            <w:r>
              <w:rPr>
                <w:rFonts w:eastAsia="仿宋_GB2312"/>
                <w:kern w:val="0"/>
                <w:szCs w:val="21"/>
              </w:rPr>
              <w:br w:type="textWrapping"/>
            </w:r>
            <w:r>
              <w:rPr>
                <w:rFonts w:eastAsia="仿宋_GB2312"/>
                <w:kern w:val="0"/>
                <w:szCs w:val="21"/>
              </w:rPr>
              <w:t>20-30%（含），计1分；</w:t>
            </w:r>
            <w:r>
              <w:rPr>
                <w:rFonts w:eastAsia="仿宋_GB2312"/>
                <w:kern w:val="0"/>
                <w:szCs w:val="21"/>
              </w:rPr>
              <w:br w:type="textWrapping"/>
            </w:r>
            <w:r>
              <w:rPr>
                <w:rFonts w:eastAsia="仿宋_GB2312"/>
                <w:kern w:val="0"/>
                <w:szCs w:val="21"/>
              </w:rPr>
              <w:t>大于30%不得分。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预算调整率=（预算调整数/预算数）×100%。</w:t>
            </w:r>
            <w:r>
              <w:rPr>
                <w:rFonts w:eastAsia="仿宋_GB2312"/>
                <w:kern w:val="0"/>
                <w:szCs w:val="21"/>
              </w:rPr>
              <w:br w:type="textWrapping"/>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0"/>
                <w:lang w:val="en-US" w:eastAsia="zh-CN"/>
              </w:rPr>
            </w:pPr>
            <w:r>
              <w:rPr>
                <w:rFonts w:hint="eastAsia" w:ascii="仿宋_GB2312" w:eastAsia="仿宋_GB2312" w:cs="宋体"/>
                <w:kern w:val="0"/>
                <w:sz w:val="20"/>
                <w:lang w:val="en-US" w:eastAsia="zh-CN"/>
              </w:rPr>
              <w:t xml:space="preserve">  4分</w:t>
            </w:r>
          </w:p>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tc>
        <w:tc>
          <w:tcPr>
            <w:tcW w:w="775" w:type="dxa"/>
            <w:vMerge w:val="continue"/>
            <w:tcBorders>
              <w:top w:val="single" w:color="auto" w:sz="4" w:space="0"/>
              <w:left w:val="single" w:color="auto" w:sz="4" w:space="0"/>
              <w:bottom w:val="single" w:color="auto" w:sz="4" w:space="0"/>
              <w:right w:val="single" w:color="auto" w:sz="4" w:space="0"/>
            </w:tcBorders>
            <w:vAlign w:val="center"/>
          </w:tcPr>
          <w:p/>
        </w:tc>
        <w:tc>
          <w:tcPr>
            <w:tcW w:w="426" w:type="dxa"/>
            <w:vMerge w:val="continue"/>
            <w:tcBorders>
              <w:top w:val="single" w:color="auto" w:sz="4" w:space="0"/>
              <w:left w:val="single" w:color="auto" w:sz="4" w:space="0"/>
              <w:bottom w:val="single" w:color="auto" w:sz="4" w:space="0"/>
              <w:right w:val="single" w:color="auto" w:sz="4" w:space="0"/>
            </w:tcBorders>
            <w:vAlign w:val="center"/>
          </w:tc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支出进度</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rPr>
              <w:t>　</w:t>
            </w:r>
            <w:r>
              <w:rPr>
                <w:rFonts w:hint="eastAsia" w:ascii="仿宋_GB2312" w:eastAsia="仿宋_GB2312" w:cs="宋体"/>
                <w:kern w:val="0"/>
                <w:sz w:val="20"/>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资金结余</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当年无结余，4分；</w:t>
            </w:r>
            <w:r>
              <w:rPr>
                <w:rFonts w:eastAsia="仿宋_GB2312"/>
                <w:kern w:val="0"/>
                <w:szCs w:val="21"/>
              </w:rPr>
              <w:br w:type="textWrapping"/>
            </w:r>
            <w:r>
              <w:rPr>
                <w:rFonts w:eastAsia="仿宋_GB2312"/>
                <w:kern w:val="0"/>
                <w:szCs w:val="21"/>
              </w:rPr>
              <w:t>当年有结余，但不超过上年结转，3分；</w:t>
            </w:r>
            <w:r>
              <w:rPr>
                <w:rFonts w:eastAsia="仿宋_GB2312"/>
                <w:kern w:val="0"/>
                <w:szCs w:val="21"/>
              </w:rPr>
              <w:br w:type="textWrapping"/>
            </w:r>
            <w:r>
              <w:rPr>
                <w:rFonts w:eastAsia="仿宋_GB2312"/>
                <w:kern w:val="0"/>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rPr>
              <w:t>　</w:t>
            </w:r>
            <w:r>
              <w:rPr>
                <w:rFonts w:hint="eastAsia" w:ascii="仿宋_GB2312" w:eastAsia="仿宋_GB2312" w:cs="宋体"/>
                <w:kern w:val="0"/>
                <w:sz w:val="20"/>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以100%为标准。三公经费控制率</w:t>
            </w:r>
            <w:r>
              <w:rPr>
                <w:kern w:val="0"/>
                <w:szCs w:val="21"/>
              </w:rPr>
              <w:t>≦</w:t>
            </w:r>
            <w:r>
              <w:rPr>
                <w:rFonts w:eastAsia="仿宋_GB2312"/>
                <w:kern w:val="0"/>
                <w:szCs w:val="21"/>
              </w:rPr>
              <w:t>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　</w:t>
            </w:r>
          </w:p>
          <w:p>
            <w:pPr>
              <w:widowControl/>
              <w:jc w:val="left"/>
              <w:rPr>
                <w:rFonts w:hint="eastAsia" w:ascii="仿宋_GB2312" w:eastAsia="仿宋_GB2312" w:cs="宋体"/>
                <w:kern w:val="0"/>
                <w:sz w:val="20"/>
              </w:rPr>
            </w:pPr>
            <w:r>
              <w:rPr>
                <w:rFonts w:hint="eastAsia" w:ascii="仿宋_GB2312" w:eastAsia="仿宋_GB2312" w:cs="宋体"/>
                <w:kern w:val="0"/>
                <w:sz w:val="20"/>
                <w:lang w:val="en-US" w:eastAsia="zh-CN"/>
              </w:rPr>
              <w:t xml:space="preserve"> 4分</w:t>
            </w:r>
          </w:p>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5"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①已制定或具有预算资金管理办法，内部财务管理制度、会计核算制度等管理制度，2分；</w:t>
            </w:r>
            <w:r>
              <w:rPr>
                <w:rFonts w:eastAsia="仿宋_GB2312"/>
                <w:kern w:val="0"/>
                <w:szCs w:val="21"/>
              </w:rPr>
              <w:br w:type="textWrapping"/>
            </w:r>
            <w:r>
              <w:rPr>
                <w:rFonts w:eastAsia="仿宋_GB2312"/>
                <w:kern w:val="0"/>
                <w:szCs w:val="21"/>
              </w:rPr>
              <w:t>②相关管理制度合法、合规、完整，2分；</w:t>
            </w:r>
            <w:r>
              <w:rPr>
                <w:rFonts w:eastAsia="仿宋_GB2312"/>
                <w:kern w:val="0"/>
                <w:szCs w:val="21"/>
              </w:rPr>
              <w:br w:type="textWrapping"/>
            </w:r>
            <w:r>
              <w:rPr>
                <w:rFonts w:eastAsia="仿宋_GB2312"/>
                <w:kern w:val="0"/>
                <w:szCs w:val="21"/>
              </w:rPr>
              <w:t>③相关管理制度得到有效执行，2分。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rPr>
              <w:t>　</w:t>
            </w:r>
            <w:r>
              <w:rPr>
                <w:rFonts w:hint="eastAsia" w:ascii="仿宋_GB2312" w:eastAsia="仿宋_GB2312" w:cs="宋体"/>
                <w:kern w:val="0"/>
                <w:sz w:val="20"/>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资金使用</w:t>
            </w:r>
            <w:r>
              <w:rPr>
                <w:rFonts w:eastAsia="仿宋_GB2312"/>
                <w:kern w:val="0"/>
                <w:szCs w:val="21"/>
              </w:rPr>
              <w:br w:type="textWrapping"/>
            </w:r>
            <w:r>
              <w:rPr>
                <w:rFonts w:eastAsia="仿宋_GB2312"/>
                <w:kern w:val="0"/>
                <w:szCs w:val="21"/>
              </w:rPr>
              <w:t>合规性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①支出符合国家财经法规和财务管理制度规定以及有关专项资金管理办法的规定；</w:t>
            </w:r>
            <w:r>
              <w:rPr>
                <w:rFonts w:eastAsia="仿宋_GB2312"/>
                <w:kern w:val="0"/>
                <w:szCs w:val="21"/>
              </w:rPr>
              <w:br w:type="textWrapping"/>
            </w:r>
            <w:r>
              <w:rPr>
                <w:rFonts w:eastAsia="仿宋_GB2312"/>
                <w:kern w:val="0"/>
                <w:szCs w:val="21"/>
              </w:rPr>
              <w:t>②资金拨付有完整的审批程序和手续；</w:t>
            </w:r>
            <w:r>
              <w:rPr>
                <w:rFonts w:eastAsia="仿宋_GB2312"/>
                <w:kern w:val="0"/>
                <w:szCs w:val="21"/>
              </w:rPr>
              <w:br w:type="textWrapping"/>
            </w:r>
            <w:r>
              <w:rPr>
                <w:rFonts w:eastAsia="仿宋_GB2312"/>
                <w:kern w:val="0"/>
                <w:szCs w:val="21"/>
              </w:rPr>
              <w:t>③项目支出符合政府采购及基建预决算评审相关要求；</w:t>
            </w:r>
            <w:r>
              <w:rPr>
                <w:rFonts w:eastAsia="仿宋_GB2312"/>
                <w:kern w:val="0"/>
                <w:szCs w:val="21"/>
              </w:rPr>
              <w:br w:type="textWrapping"/>
            </w:r>
            <w:r>
              <w:rPr>
                <w:rFonts w:eastAsia="仿宋_GB2312"/>
                <w:kern w:val="0"/>
                <w:szCs w:val="21"/>
              </w:rPr>
              <w:t>④支出符合部门预算批复的用途；</w:t>
            </w:r>
            <w:r>
              <w:rPr>
                <w:rFonts w:eastAsia="仿宋_GB2312"/>
                <w:kern w:val="0"/>
                <w:szCs w:val="21"/>
              </w:rPr>
              <w:br w:type="textWrapping"/>
            </w:r>
            <w:r>
              <w:rPr>
                <w:rFonts w:eastAsia="仿宋_GB2312"/>
                <w:kern w:val="0"/>
                <w:szCs w:val="21"/>
              </w:rPr>
              <w:t>⑤资金使用无截留、挤占、挪用、虚列支出等情况。</w:t>
            </w:r>
            <w:r>
              <w:rPr>
                <w:rFonts w:eastAsia="仿宋_GB2312"/>
                <w:kern w:val="0"/>
                <w:szCs w:val="21"/>
              </w:rPr>
              <w:br w:type="textWrapping"/>
            </w:r>
            <w:r>
              <w:rPr>
                <w:rFonts w:eastAsia="仿宋_GB2312"/>
                <w:kern w:val="0"/>
                <w:szCs w:val="21"/>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rPr>
              <w:t>　</w:t>
            </w:r>
            <w:r>
              <w:rPr>
                <w:rFonts w:hint="eastAsia" w:ascii="仿宋_GB2312" w:eastAsia="仿宋_GB2312" w:cs="宋体"/>
                <w:kern w:val="0"/>
                <w:sz w:val="20"/>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①按规定内容公开预决算信息，1分；</w:t>
            </w:r>
            <w:r>
              <w:rPr>
                <w:rFonts w:eastAsia="仿宋_GB2312"/>
                <w:kern w:val="0"/>
                <w:szCs w:val="21"/>
              </w:rPr>
              <w:br w:type="textWrapping"/>
            </w:r>
            <w:r>
              <w:rPr>
                <w:rFonts w:eastAsia="仿宋_GB2312"/>
                <w:kern w:val="0"/>
                <w:szCs w:val="21"/>
              </w:rPr>
              <w:t>②按规定时限公开预决算信息，1分；</w:t>
            </w:r>
            <w:r>
              <w:rPr>
                <w:rFonts w:eastAsia="仿宋_GB2312"/>
                <w:kern w:val="0"/>
                <w:szCs w:val="21"/>
              </w:rPr>
              <w:br w:type="textWrapping"/>
            </w:r>
            <w:r>
              <w:rPr>
                <w:rFonts w:eastAsia="仿宋_GB2312"/>
                <w:kern w:val="0"/>
                <w:szCs w:val="21"/>
              </w:rPr>
              <w:t>③基础数据信息和会计信息资料真实，1分；</w:t>
            </w:r>
            <w:r>
              <w:rPr>
                <w:rFonts w:eastAsia="仿宋_GB2312"/>
                <w:kern w:val="0"/>
                <w:szCs w:val="21"/>
              </w:rPr>
              <w:br w:type="textWrapping"/>
            </w:r>
            <w:r>
              <w:rPr>
                <w:rFonts w:eastAsia="仿宋_GB2312"/>
                <w:kern w:val="0"/>
                <w:szCs w:val="21"/>
              </w:rPr>
              <w:t>④基础数据信息和会计信息资料完整，1分；</w:t>
            </w:r>
            <w:r>
              <w:rPr>
                <w:rFonts w:eastAsia="仿宋_GB2312"/>
                <w:kern w:val="0"/>
                <w:szCs w:val="21"/>
              </w:rPr>
              <w:br w:type="textWrapping"/>
            </w:r>
            <w:r>
              <w:rPr>
                <w:rFonts w:eastAsia="仿宋_GB2312"/>
                <w:kern w:val="0"/>
                <w:szCs w:val="21"/>
              </w:rPr>
              <w:t xml:space="preserve">⑤基础数据信息和汇集信息资料准确，1分。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rPr>
              <w:t>　</w:t>
            </w:r>
            <w:r>
              <w:rPr>
                <w:rFonts w:hint="eastAsia" w:ascii="仿宋_GB2312" w:eastAsia="仿宋_GB2312" w:cs="宋体"/>
                <w:kern w:val="0"/>
                <w:sz w:val="20"/>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2"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①已制定或具有资产管理制度，1分；</w:t>
            </w:r>
            <w:r>
              <w:rPr>
                <w:rFonts w:eastAsia="仿宋_GB2312"/>
                <w:kern w:val="0"/>
                <w:szCs w:val="21"/>
              </w:rPr>
              <w:br w:type="textWrapping"/>
            </w:r>
            <w:r>
              <w:rPr>
                <w:rFonts w:eastAsia="仿宋_GB2312"/>
                <w:kern w:val="0"/>
                <w:szCs w:val="21"/>
              </w:rPr>
              <w:t>②相关资产管理制度合法、合规、完整，1分；</w:t>
            </w:r>
            <w:r>
              <w:rPr>
                <w:rFonts w:eastAsia="仿宋_GB2312"/>
                <w:kern w:val="0"/>
                <w:szCs w:val="21"/>
              </w:rPr>
              <w:br w:type="textWrapping"/>
            </w:r>
            <w:r>
              <w:rPr>
                <w:rFonts w:eastAsia="仿宋_GB2312"/>
                <w:kern w:val="0"/>
                <w:szCs w:val="21"/>
              </w:rPr>
              <w:t xml:space="preserve">③相关资产管理制度得到有效执行，2分。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rPr>
              <w:t>　</w:t>
            </w:r>
            <w:r>
              <w:rPr>
                <w:rFonts w:hint="eastAsia" w:ascii="仿宋_GB2312" w:eastAsia="仿宋_GB2312" w:cs="宋体"/>
                <w:kern w:val="0"/>
                <w:sz w:val="20"/>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资产管理</w:t>
            </w:r>
            <w:r>
              <w:rPr>
                <w:rFonts w:eastAsia="仿宋_GB2312"/>
                <w:kern w:val="0"/>
                <w:szCs w:val="21"/>
              </w:rPr>
              <w:br w:type="textWrapping"/>
            </w:r>
            <w:r>
              <w:rPr>
                <w:rFonts w:eastAsia="仿宋_GB2312"/>
                <w:kern w:val="0"/>
                <w:szCs w:val="21"/>
              </w:rPr>
              <w:t>安全性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①资产保存完整；</w:t>
            </w:r>
            <w:r>
              <w:rPr>
                <w:rFonts w:eastAsia="仿宋_GB2312"/>
                <w:kern w:val="0"/>
                <w:szCs w:val="21"/>
              </w:rPr>
              <w:br w:type="textWrapping"/>
            </w:r>
            <w:r>
              <w:rPr>
                <w:rFonts w:eastAsia="仿宋_GB2312"/>
                <w:kern w:val="0"/>
                <w:szCs w:val="21"/>
              </w:rPr>
              <w:t>②资产配置合理；</w:t>
            </w:r>
            <w:r>
              <w:rPr>
                <w:rFonts w:eastAsia="仿宋_GB2312"/>
                <w:kern w:val="0"/>
                <w:szCs w:val="21"/>
              </w:rPr>
              <w:br w:type="textWrapping"/>
            </w:r>
            <w:r>
              <w:rPr>
                <w:rFonts w:eastAsia="仿宋_GB2312"/>
                <w:kern w:val="0"/>
                <w:szCs w:val="21"/>
              </w:rPr>
              <w:t xml:space="preserve">③资产处置规范； </w:t>
            </w:r>
            <w:r>
              <w:rPr>
                <w:rFonts w:eastAsia="仿宋_GB2312"/>
                <w:kern w:val="0"/>
                <w:szCs w:val="21"/>
              </w:rPr>
              <w:br w:type="textWrapping"/>
            </w:r>
            <w:r>
              <w:rPr>
                <w:rFonts w:eastAsia="仿宋_GB2312"/>
                <w:kern w:val="0"/>
                <w:szCs w:val="21"/>
              </w:rPr>
              <w:t>④资产账务管理合规，帐实相符；</w:t>
            </w:r>
            <w:r>
              <w:rPr>
                <w:rFonts w:eastAsia="仿宋_GB2312"/>
                <w:kern w:val="0"/>
                <w:szCs w:val="21"/>
              </w:rPr>
              <w:br w:type="textWrapping"/>
            </w:r>
            <w:r>
              <w:rPr>
                <w:rFonts w:eastAsia="仿宋_GB2312"/>
                <w:kern w:val="0"/>
                <w:szCs w:val="21"/>
              </w:rPr>
              <w:t>⑤资产有偿使用及处置收入及时足额上缴；</w:t>
            </w:r>
            <w:r>
              <w:rPr>
                <w:rFonts w:eastAsia="仿宋_GB2312"/>
                <w:kern w:val="0"/>
                <w:szCs w:val="21"/>
              </w:rPr>
              <w:br w:type="textWrapping"/>
            </w:r>
            <w:r>
              <w:rPr>
                <w:rFonts w:eastAsia="仿宋_GB2312"/>
                <w:kern w:val="0"/>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rPr>
              <w:t>　</w:t>
            </w:r>
            <w:r>
              <w:rPr>
                <w:rFonts w:hint="eastAsia" w:ascii="仿宋_GB2312" w:eastAsia="仿宋_GB2312" w:cs="宋体"/>
                <w:kern w:val="0"/>
                <w:sz w:val="20"/>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固定资产</w:t>
            </w:r>
            <w:r>
              <w:rPr>
                <w:rFonts w:eastAsia="仿宋_GB2312"/>
                <w:kern w:val="0"/>
                <w:szCs w:val="21"/>
              </w:rPr>
              <w:br w:type="textWrapping"/>
            </w:r>
            <w:r>
              <w:rPr>
                <w:rFonts w:eastAsia="仿宋_GB2312"/>
                <w:kern w:val="0"/>
                <w:szCs w:val="21"/>
              </w:rPr>
              <w:t>利用率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0"/>
                <w:lang w:val="en-US" w:eastAsia="zh-CN"/>
              </w:rPr>
            </w:pPr>
            <w:r>
              <w:rPr>
                <w:rFonts w:hint="eastAsia" w:ascii="仿宋_GB2312" w:eastAsia="仿宋_GB2312" w:cs="宋体"/>
                <w:kern w:val="0"/>
                <w:sz w:val="20"/>
                <w:lang w:val="en-US" w:eastAsia="zh-CN"/>
              </w:rPr>
              <w:t xml:space="preserve"> </w:t>
            </w:r>
          </w:p>
          <w:p>
            <w:pPr>
              <w:widowControl/>
              <w:jc w:val="left"/>
              <w:rPr>
                <w:rFonts w:hint="eastAsia" w:ascii="仿宋_GB2312" w:eastAsia="仿宋_GB2312" w:cs="宋体"/>
                <w:kern w:val="0"/>
                <w:sz w:val="20"/>
              </w:rPr>
            </w:pPr>
            <w:r>
              <w:rPr>
                <w:rFonts w:hint="eastAsia" w:ascii="仿宋_GB2312" w:eastAsia="仿宋_GB2312" w:cs="宋体"/>
                <w:kern w:val="0"/>
                <w:sz w:val="20"/>
              </w:rPr>
              <w:t>　</w:t>
            </w:r>
            <w:r>
              <w:rPr>
                <w:rFonts w:hint="eastAsia" w:ascii="仿宋_GB2312" w:eastAsia="仿宋_GB2312" w:cs="宋体"/>
                <w:kern w:val="0"/>
                <w:sz w:val="20"/>
                <w:lang w:val="en-US" w:eastAsia="zh-CN"/>
              </w:rPr>
              <w:t>3分</w:t>
            </w:r>
          </w:p>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①（重点工作完成件数/重点工作计划件数）*6</w:t>
            </w:r>
          </w:p>
          <w:p>
            <w:pPr>
              <w:widowControl/>
              <w:jc w:val="left"/>
              <w:rPr>
                <w:rFonts w:eastAsia="仿宋_GB2312"/>
                <w:kern w:val="0"/>
                <w:szCs w:val="21"/>
              </w:rPr>
            </w:pPr>
            <w:r>
              <w:rPr>
                <w:rFonts w:eastAsia="仿宋_GB2312"/>
                <w:kern w:val="0"/>
                <w:szCs w:val="21"/>
              </w:rPr>
              <w:t>②根据绩效办2013年对各部门为民办实事和部门重点工程与重点工作考核分数折算。</w:t>
            </w:r>
            <w:r>
              <w:rPr>
                <w:rFonts w:eastAsia="仿宋_GB2312"/>
                <w:kern w:val="0"/>
                <w:szCs w:val="21"/>
              </w:rPr>
              <w:br w:type="textWrapping"/>
            </w:r>
            <w:r>
              <w:rPr>
                <w:rFonts w:eastAsia="仿宋_GB2312"/>
                <w:kern w:val="0"/>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①+②为此项指标考评得分</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rPr>
              <w:t>　</w:t>
            </w:r>
            <w:r>
              <w:rPr>
                <w:rFonts w:hint="eastAsia" w:ascii="仿宋_GB2312" w:eastAsia="仿宋_GB2312" w:cs="宋体"/>
                <w:kern w:val="0"/>
                <w:sz w:val="20"/>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质量达标率达到100%，计6分；</w:t>
            </w:r>
            <w:r>
              <w:rPr>
                <w:rFonts w:eastAsia="仿宋_GB2312"/>
                <w:kern w:val="0"/>
                <w:szCs w:val="21"/>
              </w:rPr>
              <w:br w:type="textWrapping"/>
            </w:r>
            <w:r>
              <w:rPr>
                <w:rFonts w:eastAsia="仿宋_GB2312"/>
                <w:kern w:val="0"/>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质量达标率=（质量达标实际工作数/计划工作数）×100%</w:t>
            </w:r>
            <w:r>
              <w:rPr>
                <w:rFonts w:eastAsia="仿宋_GB2312"/>
                <w:kern w:val="0"/>
                <w:szCs w:val="21"/>
              </w:rPr>
              <w:br w:type="textWrapping"/>
            </w:r>
            <w:r>
              <w:rPr>
                <w:rFonts w:eastAsia="仿宋_GB2312"/>
                <w:kern w:val="0"/>
                <w:szCs w:val="21"/>
              </w:rPr>
              <w:t>质量达标实际工作数：2013年部门（单位）实际完成为民办实事和部门重点工程与重点工作数中，质量达到绩效标准值的工作任务数量。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rPr>
              <w:t>　</w:t>
            </w:r>
            <w:r>
              <w:rPr>
                <w:rFonts w:hint="eastAsia" w:ascii="仿宋_GB2312" w:eastAsia="仿宋_GB2312" w:cs="宋体"/>
                <w:kern w:val="0"/>
                <w:sz w:val="20"/>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经济效益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757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210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rPr>
              <w:t>　</w:t>
            </w:r>
            <w:r>
              <w:rPr>
                <w:rFonts w:hint="eastAsia" w:ascii="仿宋_GB2312" w:eastAsia="仿宋_GB2312" w:cs="宋体"/>
                <w:kern w:val="0"/>
                <w:sz w:val="20"/>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社会效益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7572" w:type="dxa"/>
            <w:gridSpan w:val="2"/>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生态效益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7572" w:type="dxa"/>
            <w:gridSpan w:val="2"/>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抽取服务对象和社会公众各10名进行问卷调查，调查问卷共计得分/1000分*8。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仿宋_GB2312" w:eastAsia="仿宋_GB2312" w:cs="宋体"/>
                <w:kern w:val="0"/>
                <w:sz w:val="20"/>
              </w:rPr>
              <w:t>　</w:t>
            </w:r>
            <w:r>
              <w:rPr>
                <w:rFonts w:hint="eastAsia" w:ascii="仿宋_GB2312" w:eastAsia="仿宋_GB2312" w:cs="宋体"/>
                <w:kern w:val="0"/>
                <w:sz w:val="20"/>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199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100</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kern w:val="0"/>
                <w:szCs w:val="21"/>
                <w:lang w:val="en-US" w:eastAsia="zh-CN"/>
              </w:rPr>
            </w:pPr>
            <w:r>
              <w:rPr>
                <w:rFonts w:hint="eastAsia"/>
                <w:kern w:val="0"/>
                <w:szCs w:val="21"/>
                <w:lang w:val="en-US" w:eastAsia="zh-CN"/>
              </w:rPr>
              <w:t>99</w:t>
            </w:r>
            <w:bookmarkStart w:id="1" w:name="_GoBack"/>
            <w:bookmarkEnd w:id="1"/>
            <w:r>
              <w:rPr>
                <w:rFonts w:hint="eastAsia"/>
                <w:kern w:val="0"/>
                <w:szCs w:val="21"/>
                <w:lang w:val="en-US" w:eastAsia="zh-CN"/>
              </w:rPr>
              <w:t>分</w:t>
            </w:r>
          </w:p>
        </w:tc>
      </w:tr>
    </w:tbl>
    <w:p>
      <w:pPr>
        <w:rPr>
          <w:rFonts w:hint="eastAsia"/>
        </w:rPr>
      </w:pPr>
    </w:p>
    <w:p>
      <w:pPr>
        <w:sectPr>
          <w:pgSz w:w="16838" w:h="11906" w:orient="landscape"/>
          <w:pgMar w:top="1797" w:right="1440" w:bottom="1797" w:left="1440" w:header="851" w:footer="992" w:gutter="0"/>
          <w:pgNumType w:fmt="numberInDash"/>
          <w:cols w:space="425" w:num="1"/>
          <w:docGrid w:type="lines" w:linePitch="312" w:charSpace="0"/>
        </w:sectPr>
      </w:pPr>
    </w:p>
    <w:p>
      <w:pPr>
        <w:spacing w:line="560" w:lineRule="exact"/>
        <w:rPr>
          <w:rFonts w:eastAsia="黑体"/>
          <w:sz w:val="30"/>
          <w:szCs w:val="30"/>
        </w:rPr>
      </w:pPr>
      <w:r>
        <w:rPr>
          <w:rFonts w:eastAsia="黑体"/>
          <w:kern w:val="0"/>
          <w:sz w:val="30"/>
          <w:szCs w:val="30"/>
        </w:rPr>
        <w:t>附件4</w:t>
      </w:r>
    </w:p>
    <w:p>
      <w:pPr>
        <w:spacing w:line="560" w:lineRule="exact"/>
        <w:jc w:val="center"/>
        <w:rPr>
          <w:rFonts w:eastAsia="方正小标宋简体"/>
          <w:bCs/>
          <w:sz w:val="36"/>
          <w:szCs w:val="36"/>
        </w:rPr>
      </w:pPr>
      <w:r>
        <w:rPr>
          <w:rFonts w:eastAsia="方正小标宋简体"/>
          <w:bCs/>
          <w:sz w:val="36"/>
          <w:szCs w:val="36"/>
        </w:rPr>
        <w:t>公众或服务对象满意度调查问卷</w:t>
      </w:r>
    </w:p>
    <w:p>
      <w:pPr>
        <w:spacing w:line="560" w:lineRule="exact"/>
        <w:jc w:val="left"/>
        <w:rPr>
          <w:rFonts w:eastAsia="仿宋_GB2312"/>
          <w:sz w:val="24"/>
        </w:rPr>
      </w:pPr>
    </w:p>
    <w:p>
      <w:pPr>
        <w:spacing w:line="560" w:lineRule="exact"/>
        <w:jc w:val="left"/>
        <w:rPr>
          <w:rFonts w:eastAsia="仿宋_GB2312"/>
          <w:sz w:val="24"/>
        </w:rPr>
      </w:pPr>
      <w:r>
        <w:rPr>
          <w:rFonts w:eastAsia="仿宋_GB2312"/>
          <w:sz w:val="24"/>
        </w:rPr>
        <w:t>问卷编号：No.________调查时间：___________调查地点：___________</w:t>
      </w:r>
    </w:p>
    <w:p>
      <w:pPr>
        <w:spacing w:line="560" w:lineRule="exact"/>
        <w:jc w:val="left"/>
        <w:rPr>
          <w:rFonts w:eastAsia="仿宋_GB2312"/>
          <w:sz w:val="24"/>
        </w:rPr>
      </w:pPr>
      <w:r>
        <w:rPr>
          <w:rFonts w:eastAsia="仿宋_GB2312"/>
          <w:sz w:val="24"/>
        </w:rPr>
        <w:t>调查人员：___________调查对象：___________性    别：___________</w:t>
      </w:r>
    </w:p>
    <w:p>
      <w:pPr>
        <w:spacing w:line="560" w:lineRule="exact"/>
        <w:jc w:val="left"/>
        <w:rPr>
          <w:rFonts w:eastAsia="仿宋_GB2312"/>
          <w:sz w:val="24"/>
        </w:rPr>
      </w:pPr>
      <w:r>
        <w:rPr>
          <w:rFonts w:eastAsia="仿宋_GB2312"/>
          <w:sz w:val="24"/>
        </w:rPr>
        <w:t>授权单位：炎陵县财政局绩效评价股</w:t>
      </w:r>
    </w:p>
    <w:p>
      <w:pPr>
        <w:spacing w:line="560" w:lineRule="exact"/>
        <w:jc w:val="left"/>
        <w:rPr>
          <w:rFonts w:eastAsia="仿宋_GB2312"/>
          <w:sz w:val="24"/>
        </w:rPr>
      </w:pPr>
      <w:r>
        <w:rPr>
          <w:rFonts w:eastAsia="仿宋_GB2312"/>
          <w:sz w:val="24"/>
        </w:rPr>
        <w:t>您好！我们是炎陵县财政局绩效评价股安排的调查员。为做好财政资金绩效评价，了解社会公众对部门工作的满意度，我们设计了问卷调查。请您选择合适的答案填写。您的所填问卷将是匿名的，对于您的问卷内容我们将严格予以保密，您所提供的意见仅用于统计分析，谢谢您的合作！</w:t>
      </w:r>
    </w:p>
    <w:p>
      <w:pPr>
        <w:spacing w:line="560" w:lineRule="exact"/>
        <w:jc w:val="left"/>
        <w:rPr>
          <w:rFonts w:eastAsia="仿宋_GB2312"/>
          <w:sz w:val="24"/>
        </w:rPr>
      </w:pPr>
      <w:r>
        <w:rPr>
          <w:rFonts w:eastAsia="仿宋_GB2312"/>
          <w:sz w:val="24"/>
        </w:rPr>
        <w:t>Q1.您对该部门工作现状的总体评价是：</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Q2.您认为该部门深入基层调查研究，倾听群众意见，掌握真实、准确情况方面做得如何：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Q3.您认为该部门在解决群众反映强烈的热点、难点、焦点问题方面做得如何：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Q4.您对该部门支出项目在促进社会经济发展、提高人民生活水平方面的满意度</w:t>
      </w:r>
    </w:p>
    <w:p>
      <w:pPr>
        <w:spacing w:line="560" w:lineRule="exact"/>
        <w:jc w:val="left"/>
        <w:rPr>
          <w:rFonts w:eastAsia="仿宋_GB2312"/>
          <w:sz w:val="24"/>
        </w:rPr>
      </w:pPr>
      <w:r>
        <w:rPr>
          <w:rFonts w:eastAsia="仿宋_GB2312"/>
          <w:sz w:val="24"/>
        </w:rPr>
        <w:t xml:space="preserve">   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Q5.您认为该部门在履行服务承诺以及服务态度、服务质量方面做得如何：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Q6.您认为该部门在依法办事、依法行政，杜绝不作为和乱作为方面做得如何：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Q7.您认为该部门在宣传国家政策、普及法规常识方面做得如何：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Q8.您认为该部门在改革和完善机关办事制度，缩短办事时间，提高工作效率方面做得如何：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Q9.您认为该部门在实施信息公开方面，如党务、政务、办事程序、财务公开等方面做得如何：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Q10.您认为该部门在厉行节约、制止奢侈浪费行为等方面做得如何：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如果您对部门工作还存在有见解性的意见或建议，请您在此处进行说明：</w:t>
      </w:r>
    </w:p>
    <w:p>
      <w:pPr>
        <w:spacing w:line="560" w:lineRule="exact"/>
        <w:jc w:val="left"/>
        <w:rPr>
          <w:rFonts w:hint="eastAsia" w:eastAsia="仿宋_GB2312"/>
          <w:sz w:val="24"/>
        </w:rPr>
      </w:pPr>
      <w:r>
        <w:rPr>
          <w:rFonts w:eastAsia="仿宋_GB2312"/>
          <w:sz w:val="24"/>
        </w:rPr>
        <w:t>____________________________________________________________________________________________________________________________________________________________________________________________________________</w:t>
      </w:r>
      <w:r>
        <w:rPr>
          <w:rFonts w:hint="eastAsia" w:eastAsia="仿宋_GB2312"/>
          <w:sz w:val="24"/>
        </w:rPr>
        <w:t xml:space="preserve"> </w:t>
      </w:r>
    </w:p>
    <w:p>
      <w:pPr>
        <w:rPr>
          <w:rFonts w:hint="eastAsia"/>
        </w:rPr>
      </w:pPr>
      <w:r>
        <w:rPr>
          <w:rFonts w:eastAsia="仿宋_GB2312"/>
          <w:sz w:val="24"/>
        </w:rPr>
        <w:t>备注：本问卷计分50分，10个问题，每个问题5分：非常满意计5分，满意计4分，一般计3分，不满意计0分</w:t>
      </w:r>
      <w:r>
        <w:rPr>
          <w:rFonts w:hint="eastAsia"/>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宋体" w:hAnsi="宋体"/>
        <w:sz w:val="24"/>
        <w:szCs w:val="24"/>
      </w:rPr>
    </w:pPr>
    <w:r>
      <w:rPr>
        <w:rStyle w:val="6"/>
        <w:rFonts w:hint="eastAsia" w:ascii="宋体" w:hAnsi="宋体"/>
        <w:sz w:val="24"/>
        <w:szCs w:val="24"/>
      </w:rPr>
      <w:t xml:space="preserve"> </w:t>
    </w:r>
    <w:r>
      <w:rPr>
        <w:rStyle w:val="6"/>
        <w:rFonts w:hint="eastAsia" w:ascii="宋体" w:hAnsi="宋体"/>
        <w:sz w:val="24"/>
        <w:szCs w:val="24"/>
      </w:rPr>
      <w:fldChar w:fldCharType="begin"/>
    </w:r>
    <w:r>
      <w:rPr>
        <w:rStyle w:val="6"/>
        <w:rFonts w:hint="eastAsia" w:ascii="宋体" w:hAnsi="宋体"/>
        <w:sz w:val="24"/>
        <w:szCs w:val="24"/>
      </w:rPr>
      <w:instrText xml:space="preserve">PAGE  </w:instrText>
    </w:r>
    <w:r>
      <w:rPr>
        <w:rStyle w:val="6"/>
        <w:rFonts w:hint="eastAsia" w:ascii="宋体" w:hAnsi="宋体"/>
        <w:sz w:val="24"/>
        <w:szCs w:val="24"/>
      </w:rPr>
      <w:fldChar w:fldCharType="separate"/>
    </w:r>
    <w:r>
      <w:rPr>
        <w:rStyle w:val="6"/>
        <w:rFonts w:ascii="宋体" w:hAnsi="宋体"/>
        <w:sz w:val="24"/>
        <w:szCs w:val="24"/>
      </w:rPr>
      <w:t>- 5 -</w:t>
    </w:r>
    <w:r>
      <w:rPr>
        <w:rStyle w:val="6"/>
        <w:rFonts w:hint="eastAsia" w:ascii="宋体" w:hAnsi="宋体"/>
        <w:sz w:val="24"/>
        <w:szCs w:val="24"/>
      </w:rPr>
      <w:fldChar w:fldCharType="end"/>
    </w:r>
    <w:r>
      <w:rPr>
        <w:rStyle w:val="6"/>
        <w:rFonts w:hint="eastAsia" w:ascii="宋体" w:hAnsi="宋体"/>
        <w:sz w:val="24"/>
        <w:szCs w:val="24"/>
      </w:rPr>
      <w:t xml:space="preserve"> </w:t>
    </w:r>
  </w:p>
  <w:p>
    <w:pPr>
      <w:pStyle w:val="2"/>
      <w:framePr w:wrap="around" w:vAnchor="text" w:hAnchor="margin" w:xAlign="outside" w:y="1"/>
      <w:rPr>
        <w:rStyle w:val="6"/>
        <w:rFonts w:ascii="宋体" w:hAnsi="宋体"/>
        <w:sz w:val="24"/>
        <w:szCs w:val="24"/>
      </w:rPr>
    </w:pP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A72"/>
    <w:multiLevelType w:val="multilevel"/>
    <w:tmpl w:val="07516A7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4A7803"/>
    <w:multiLevelType w:val="singleLevel"/>
    <w:tmpl w:val="584A7803"/>
    <w:lvl w:ilvl="0" w:tentative="0">
      <w:start w:val="1"/>
      <w:numFmt w:val="decimal"/>
      <w:suff w:val="nothing"/>
      <w:lvlText w:val="%1、"/>
      <w:lvlJc w:val="left"/>
    </w:lvl>
  </w:abstractNum>
  <w:abstractNum w:abstractNumId="2">
    <w:nsid w:val="584E5321"/>
    <w:multiLevelType w:val="singleLevel"/>
    <w:tmpl w:val="584E5321"/>
    <w:lvl w:ilvl="0" w:tentative="0">
      <w:start w:val="6"/>
      <w:numFmt w:val="decimal"/>
      <w:suff w:val="nothing"/>
      <w:lvlText w:val="%1、"/>
      <w:lvlJc w:val="left"/>
    </w:lvl>
  </w:abstractNum>
  <w:num w:numId="1">
    <w:abstractNumId w:val="1"/>
  </w:num>
  <w:num w:numId="2">
    <w:abstractNumId w:val="2"/>
  </w:num>
  <w:num w:numId="3">
    <w:abstractNumId w:val="0"/>
    <w:lvlOverride w:ilvl="0">
      <w:startOverride w:val="1"/>
      <w:lvl w:ilvl="0" w:tentative="1">
        <w:start w:val="1"/>
        <w:numFmt w:val="decimal"/>
        <w:lvlText w:val="%1、"/>
        <w:lvlJc w:val="left"/>
        <w:pPr>
          <w:tabs>
            <w:tab w:val="left" w:pos="360"/>
          </w:tabs>
          <w:ind w:left="360" w:hanging="360"/>
        </w:pPr>
      </w:lvl>
    </w:lvlOverride>
    <w:lvlOverride w:ilvl="1">
      <w:startOverride w:val="1"/>
      <w:lvl w:ilvl="1" w:tentative="1">
        <w:start w:val="1"/>
        <w:numFmt w:val="lowerLetter"/>
        <w:lvlText w:val="%2)"/>
        <w:lvlJc w:val="left"/>
        <w:pPr>
          <w:tabs>
            <w:tab w:val="left" w:pos="840"/>
          </w:tabs>
          <w:ind w:left="840" w:hanging="420"/>
        </w:p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16C76"/>
    <w:rsid w:val="6D535020"/>
    <w:rsid w:val="71F16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link w:val="5"/>
    <w:semiHidden/>
    <w:uiPriority w:val="0"/>
    <w:rPr>
      <w:rFonts w:ascii="Verdana" w:hAnsi="Verdana" w:eastAsia="仿宋_GB2312"/>
      <w:kern w:val="0"/>
      <w:sz w:val="28"/>
      <w:szCs w:val="20"/>
      <w:lang w:eastAsia="en-US"/>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color w:val="000000"/>
      <w:kern w:val="0"/>
      <w:sz w:val="24"/>
    </w:rPr>
  </w:style>
  <w:style w:type="paragraph" w:customStyle="1" w:styleId="5">
    <w:name w:val="_Style 3"/>
    <w:basedOn w:val="1"/>
    <w:link w:val="4"/>
    <w:qFormat/>
    <w:uiPriority w:val="0"/>
    <w:pPr>
      <w:widowControl/>
      <w:jc w:val="left"/>
    </w:pPr>
    <w:rPr>
      <w:rFonts w:ascii="Verdana" w:hAnsi="Verdana" w:eastAsia="仿宋_GB2312"/>
      <w:kern w:val="0"/>
      <w:sz w:val="28"/>
      <w:szCs w:val="20"/>
      <w:lang w:eastAsia="en-US"/>
    </w:rPr>
  </w:style>
  <w:style w:type="character" w:styleId="6">
    <w:name w:val="page number"/>
    <w:basedOn w:val="4"/>
    <w:qFormat/>
    <w:uiPriority w:val="0"/>
  </w:style>
  <w:style w:type="character" w:customStyle="1" w:styleId="8">
    <w:name w:val="titl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2018-08-29T02:28:00Z</dcterms:created>
  <dc:creator>sin1423710463</dc:creator>
  <cp:lastModifiedBy>sin1423710463</cp:lastModifiedBy>
  <dcterms:modified xsi:type="dcterms:W3CDTF">2018-08-29T03:16:36Z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