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  <w:r>
        <w:rPr>
          <w:rFonts w:eastAsia="黑体"/>
          <w:kern w:val="0"/>
          <w:sz w:val="32"/>
          <w:szCs w:val="32"/>
        </w:rPr>
        <w:t>-1</w:t>
      </w:r>
    </w:p>
    <w:p>
      <w:pPr>
        <w:spacing w:line="600" w:lineRule="exact"/>
        <w:jc w:val="center"/>
        <w:rPr>
          <w:rFonts w:hint="eastAsia"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专项资金绩效目标申报表</w:t>
      </w:r>
      <w:r>
        <w:rPr>
          <w:rFonts w:hint="eastAsia" w:ascii="方正小标宋简体" w:eastAsia="方正小标宋简体"/>
          <w:bCs/>
          <w:kern w:val="0"/>
          <w:sz w:val="32"/>
          <w:szCs w:val="32"/>
        </w:rPr>
        <w:br w:type="textWrapping"/>
      </w:r>
      <w:r>
        <w:rPr>
          <w:rFonts w:eastAsia="楷体_GB2312"/>
          <w:bCs/>
          <w:kern w:val="0"/>
          <w:sz w:val="32"/>
          <w:szCs w:val="32"/>
        </w:rPr>
        <w:t>（  201</w:t>
      </w:r>
      <w:r>
        <w:rPr>
          <w:rFonts w:hint="eastAsia" w:eastAsia="楷体_GB2312"/>
          <w:bCs/>
          <w:kern w:val="0"/>
          <w:sz w:val="32"/>
          <w:szCs w:val="32"/>
        </w:rPr>
        <w:t>8</w:t>
      </w:r>
      <w:r>
        <w:rPr>
          <w:rFonts w:eastAsia="楷体_GB2312"/>
          <w:bCs/>
          <w:kern w:val="0"/>
          <w:sz w:val="32"/>
          <w:szCs w:val="32"/>
        </w:rPr>
        <w:t xml:space="preserve"> 年度）</w:t>
      </w:r>
    </w:p>
    <w:p>
      <w:pPr>
        <w:spacing w:line="600" w:lineRule="exact"/>
        <w:rPr>
          <w:rFonts w:eastAsia="楷体_GB2312"/>
          <w:bCs/>
          <w:kern w:val="0"/>
          <w:sz w:val="32"/>
          <w:szCs w:val="32"/>
        </w:rPr>
      </w:pPr>
      <w:r>
        <w:rPr>
          <w:kern w:val="0"/>
          <w:szCs w:val="21"/>
        </w:rPr>
        <w:t>填报单位（盖章）：</w:t>
      </w:r>
    </w:p>
    <w:tbl>
      <w:tblPr>
        <w:tblStyle w:val="6"/>
        <w:tblW w:w="9276" w:type="dxa"/>
        <w:jc w:val="center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03"/>
        <w:gridCol w:w="1486"/>
        <w:gridCol w:w="584"/>
        <w:gridCol w:w="1980"/>
        <w:gridCol w:w="35"/>
        <w:gridCol w:w="1114"/>
        <w:gridCol w:w="30"/>
        <w:gridCol w:w="54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防控工作经费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专项属性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延续专项□     新增专项□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部门名称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疾控中心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资金总额（万元）</w:t>
            </w:r>
          </w:p>
        </w:tc>
        <w:tc>
          <w:tcPr>
            <w:tcW w:w="3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30</w:t>
            </w:r>
            <w:r>
              <w:rPr>
                <w:kern w:val="0"/>
                <w:szCs w:val="21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部门相应职能职责概述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组织实施动物强制免疫，确保高致病性禽流感、口蹄疫、小反刍兽疫等强制免疫病种的畜禽群体常年免疫密度达到90%，应免畜禽免疫密度达到100%。2.开展免疫抗体监测，要求强制免疫病种的免疫抗体合格率达到70%以上。3.对猪瘟、鸡新城疫实行全面免疫，高致病性猪蓝耳病根据流调情况确定免疫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专项立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项依据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1.动物防疫法；2.重大动物疫情应急条例；3.炎陵县重大动物疫情应急预案；4.株洲市2017年度重大动物疫病防控工作目标管理责任书。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进度计划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</w:t>
            </w:r>
            <w:r>
              <w:rPr>
                <w:rFonts w:hint="eastAsia"/>
                <w:kern w:val="0"/>
                <w:szCs w:val="21"/>
                <w:lang w:eastAsia="zh-CN"/>
              </w:rPr>
              <w:t>春防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2018年3月1日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2018年4月30日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</w:t>
            </w:r>
            <w:r>
              <w:rPr>
                <w:rFonts w:hint="eastAsia"/>
                <w:kern w:val="0"/>
                <w:szCs w:val="21"/>
                <w:lang w:eastAsia="zh-CN"/>
              </w:rPr>
              <w:t>秋防</w:t>
            </w:r>
          </w:p>
        </w:tc>
        <w:tc>
          <w:tcPr>
            <w:tcW w:w="3713" w:type="dxa"/>
            <w:gridSpan w:val="4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2018年9月1日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2018年10月31日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gridSpan w:val="2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3.免疫抗体监测</w:t>
            </w:r>
          </w:p>
        </w:tc>
        <w:tc>
          <w:tcPr>
            <w:tcW w:w="3743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1.2018年5月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2.2018年11月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1.2018年6月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2.2018年12月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专项长期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600" w:lineRule="exac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落实业务部门保质量的要求，确保不因防疫责任不落实、保障机制不健全、防控措施不到位而发生重大动物疫情。</w:t>
            </w:r>
          </w:p>
          <w:p>
            <w:pPr>
              <w:widowControl/>
              <w:numPr>
                <w:ilvl w:val="0"/>
                <w:numId w:val="1"/>
              </w:numPr>
              <w:spacing w:line="6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健全完善动物防疫体系建设。确保基础设施设备完善，队伍稳定。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绩效目标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确保高致病性禽流感、口蹄疫、小反刍兽疫等强制免疫病种的畜禽群体常年免疫密度达到90%，应免畜禽免疫密度达到100%。2.开展免疫抗体监测，要求强制免疫病种的免疫抗体合格率达到70%以上。3.对猪瘟、鸡新城疫实行全面免疫，高致病性猪蓝耳病根据流调情况确定免疫范围。4.确保年度内不发生区域性重大动物疫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专项年度绩效指标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动物防疫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应免密度达到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免疫抗体合格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率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达到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70%以上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规模养殖场按程序免疫，散养户进行春秋防免疫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1.养殖场由场主申报免疫，2.散养户在春秋防期间内完成。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30万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防疫用品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10万，培训6万，工作经费8万，动物疫情监测6万。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>
            <w:bookmarkStart w:id="0" w:name="_GoBack" w:colFirst="3" w:colLast="5"/>
          </w:p>
        </w:tc>
        <w:tc>
          <w:tcPr>
            <w:tcW w:w="1103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养殖户增产增收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不因动物疫情受损失。</w:t>
            </w: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确保社会公共卫生安全，确保养殖业稳定发展。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社会稳定，产业发展，人民增收。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59" w:type="dxa"/>
            <w:vMerge w:val="continue"/>
            <w:shd w:val="clear" w:color="auto" w:fill="auto"/>
            <w:vAlign w:val="center"/>
          </w:tcPr>
          <w:p/>
        </w:tc>
        <w:tc>
          <w:tcPr>
            <w:tcW w:w="1103" w:type="dxa"/>
            <w:vMerge w:val="continue"/>
            <w:shd w:val="clear" w:color="auto" w:fill="auto"/>
            <w:vAlign w:val="center"/>
          </w:tcPr>
          <w:p/>
        </w:tc>
        <w:tc>
          <w:tcPr>
            <w:tcW w:w="1486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养殖户对动物防疫工作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100%满意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保障措施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rPr>
                <w:kern w:val="0"/>
                <w:szCs w:val="21"/>
              </w:rPr>
            </w:pPr>
            <w:r>
              <w:rPr>
                <w:szCs w:val="21"/>
              </w:rPr>
              <w:t>为确保专项实施而制定的制度和措施，如成立的专门管理机构、资金管理办法、项目管理办法、工作措施（方案、规划）等。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财政部门</w:t>
            </w:r>
          </w:p>
          <w:p>
            <w:pPr>
              <w:widowControl/>
              <w:spacing w:line="6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60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60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年   月   日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spacing w:line="600" w:lineRule="exact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</w:p>
    <w:p>
      <w:pPr>
        <w:spacing w:before="156" w:beforeLines="50" w:line="600" w:lineRule="exact"/>
        <w:rPr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0E0C"/>
    <w:multiLevelType w:val="singleLevel"/>
    <w:tmpl w:val="59AD0E0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32495"/>
    <w:rsid w:val="6D535020"/>
    <w:rsid w:val="719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8"/>
      <w:szCs w:val="20"/>
      <w:lang w:eastAsia="en-US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3"/>
    <w:basedOn w:val="1"/>
    <w:link w:val="3"/>
    <w:uiPriority w:val="0"/>
    <w:pPr>
      <w:widowControl/>
      <w:jc w:val="left"/>
    </w:pPr>
    <w:rPr>
      <w:rFonts w:ascii="Verdana" w:hAnsi="Verdana" w:eastAsia="仿宋_GB2312"/>
      <w:kern w:val="0"/>
      <w:sz w:val="28"/>
      <w:szCs w:val="20"/>
      <w:lang w:eastAsia="en-US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2018-08-03T01:34:00Z</dcterms:created>
  <dc:creator>sin1423710463</dc:creator>
  <cp:lastModifiedBy>sin1423710463</cp:lastModifiedBy>
  <dcterms:modified xsi:type="dcterms:W3CDTF">2018-08-03T01:56:40Z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