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96" w:rsidRDefault="00072994">
      <w:pPr>
        <w:adjustRightInd w:val="0"/>
        <w:spacing w:line="560" w:lineRule="exact"/>
        <w:ind w:right="641"/>
        <w:jc w:val="center"/>
        <w:rPr>
          <w:rFonts w:eastAsia="方正小标宋简体"/>
          <w:sz w:val="36"/>
          <w:szCs w:val="36"/>
        </w:rPr>
      </w:pPr>
      <w:r>
        <w:rPr>
          <w:rFonts w:eastAsia="方正小标宋简体" w:hint="eastAsia"/>
          <w:sz w:val="36"/>
          <w:szCs w:val="36"/>
        </w:rPr>
        <w:t>炎陵县</w:t>
      </w:r>
      <w:r w:rsidR="005B4BC4">
        <w:rPr>
          <w:rFonts w:eastAsia="方正小标宋简体" w:hint="eastAsia"/>
          <w:sz w:val="36"/>
          <w:szCs w:val="36"/>
        </w:rPr>
        <w:t>农业机械管理局</w:t>
      </w:r>
    </w:p>
    <w:p w:rsidR="00123B96" w:rsidRDefault="00072994">
      <w:pPr>
        <w:adjustRightInd w:val="0"/>
        <w:spacing w:line="560" w:lineRule="exact"/>
        <w:ind w:right="641"/>
        <w:jc w:val="center"/>
        <w:rPr>
          <w:rFonts w:eastAsia="方正小标宋简体"/>
          <w:sz w:val="36"/>
          <w:szCs w:val="36"/>
        </w:rPr>
      </w:pPr>
      <w:r>
        <w:rPr>
          <w:rFonts w:eastAsia="方正小标宋简体" w:hint="eastAsia"/>
          <w:sz w:val="36"/>
          <w:szCs w:val="36"/>
        </w:rPr>
        <w:t>2017</w:t>
      </w:r>
      <w:r>
        <w:rPr>
          <w:rFonts w:eastAsia="方正小标宋简体" w:hint="eastAsia"/>
          <w:sz w:val="36"/>
          <w:szCs w:val="36"/>
        </w:rPr>
        <w:t>年度</w:t>
      </w:r>
      <w:r w:rsidR="005B4BC4">
        <w:rPr>
          <w:rFonts w:eastAsia="方正小标宋简体" w:hint="eastAsia"/>
          <w:sz w:val="36"/>
          <w:szCs w:val="36"/>
        </w:rPr>
        <w:t>农机安全生产监理</w:t>
      </w:r>
      <w:r>
        <w:rPr>
          <w:rFonts w:eastAsia="方正小标宋简体" w:hint="eastAsia"/>
          <w:sz w:val="36"/>
          <w:szCs w:val="36"/>
        </w:rPr>
        <w:t>经费</w:t>
      </w:r>
      <w:r>
        <w:rPr>
          <w:rFonts w:eastAsia="方正小标宋简体"/>
          <w:sz w:val="36"/>
          <w:szCs w:val="36"/>
        </w:rPr>
        <w:t>支出绩效报告</w:t>
      </w:r>
    </w:p>
    <w:p w:rsidR="00123B96" w:rsidRDefault="00123B96">
      <w:pPr>
        <w:adjustRightInd w:val="0"/>
        <w:spacing w:line="560" w:lineRule="exact"/>
        <w:ind w:right="641"/>
        <w:jc w:val="center"/>
        <w:rPr>
          <w:rFonts w:eastAsia="方正小标宋简体"/>
          <w:sz w:val="36"/>
          <w:szCs w:val="36"/>
        </w:rPr>
      </w:pPr>
    </w:p>
    <w:p w:rsidR="00123B96" w:rsidRDefault="00072994">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123B96" w:rsidRDefault="00072994">
      <w:pPr>
        <w:adjustRightInd w:val="0"/>
        <w:snapToGrid w:val="0"/>
        <w:spacing w:line="560" w:lineRule="exact"/>
        <w:ind w:firstLineChars="200" w:firstLine="640"/>
        <w:rPr>
          <w:rFonts w:eastAsia="仿宋_GB2312"/>
          <w:sz w:val="32"/>
          <w:szCs w:val="32"/>
        </w:rPr>
      </w:pPr>
      <w:r>
        <w:rPr>
          <w:rFonts w:eastAsia="仿宋_GB2312"/>
          <w:sz w:val="32"/>
          <w:szCs w:val="32"/>
        </w:rPr>
        <w:t>（一）项目单位基本情况。</w:t>
      </w:r>
    </w:p>
    <w:p w:rsidR="005B4BC4" w:rsidRPr="004D35CE" w:rsidRDefault="00072994" w:rsidP="005B4BC4">
      <w:pPr>
        <w:snapToGrid w:val="0"/>
        <w:spacing w:line="520" w:lineRule="exact"/>
        <w:ind w:firstLineChars="200" w:firstLine="640"/>
        <w:rPr>
          <w:rFonts w:ascii="仿宋" w:eastAsia="仿宋" w:hAnsi="仿宋"/>
          <w:sz w:val="32"/>
          <w:szCs w:val="32"/>
        </w:rPr>
      </w:pPr>
      <w:r w:rsidRPr="004D35CE">
        <w:rPr>
          <w:rFonts w:ascii="仿宋" w:eastAsia="仿宋" w:hAnsi="仿宋" w:cs="仿宋_GB2312" w:hint="eastAsia"/>
          <w:sz w:val="32"/>
          <w:szCs w:val="32"/>
        </w:rPr>
        <w:t>1、部门职责：</w:t>
      </w:r>
      <w:r w:rsidR="005B4BC4" w:rsidRPr="004D35CE">
        <w:rPr>
          <w:rFonts w:ascii="仿宋" w:eastAsia="仿宋" w:hAnsi="仿宋" w:hint="eastAsia"/>
          <w:sz w:val="32"/>
          <w:szCs w:val="32"/>
        </w:rPr>
        <w:t>贯彻执行国家农业机械化的方针政策、法律、法规，拟定并组织农业机械化发展年度计划，组织实施农业机械化基础建设，为农业机械化发展提供管理保障。负责全县农机技术推广和教育培训工作的组织协调；负责做好农机购置补贴工作项目的组织和实施；负责农机安全生产活动的管理。</w:t>
      </w:r>
    </w:p>
    <w:p w:rsidR="005B4BC4" w:rsidRPr="004D35CE" w:rsidRDefault="00072994" w:rsidP="005B4BC4">
      <w:pPr>
        <w:snapToGrid w:val="0"/>
        <w:spacing w:line="520" w:lineRule="exact"/>
        <w:ind w:firstLineChars="200" w:firstLine="640"/>
        <w:rPr>
          <w:rFonts w:ascii="仿宋" w:eastAsia="仿宋" w:hAnsi="仿宋"/>
          <w:sz w:val="32"/>
          <w:szCs w:val="32"/>
        </w:rPr>
      </w:pPr>
      <w:r w:rsidRPr="004D35CE">
        <w:rPr>
          <w:rFonts w:ascii="仿宋" w:eastAsia="仿宋" w:hAnsi="仿宋" w:cs="仿宋_GB2312" w:hint="eastAsia"/>
          <w:sz w:val="32"/>
          <w:szCs w:val="32"/>
        </w:rPr>
        <w:t>2、机构设置：根据上述职责，</w:t>
      </w:r>
      <w:r w:rsidR="005B4BC4" w:rsidRPr="004D35CE">
        <w:rPr>
          <w:rFonts w:ascii="仿宋" w:eastAsia="仿宋" w:hAnsi="仿宋" w:hint="eastAsia"/>
          <w:sz w:val="32"/>
          <w:szCs w:val="32"/>
        </w:rPr>
        <w:t>本部门属县一级全额拨款事业单位，机构1个，下设行政办公室、财务股、业务管理股、农机技术推广站、农机监理所、农机培训学校。</w:t>
      </w:r>
    </w:p>
    <w:p w:rsidR="00123B96" w:rsidRPr="004D35CE" w:rsidRDefault="005B4BC4" w:rsidP="004D35CE">
      <w:pPr>
        <w:snapToGrid w:val="0"/>
        <w:spacing w:line="520" w:lineRule="exact"/>
        <w:ind w:firstLineChars="200" w:firstLine="640"/>
        <w:rPr>
          <w:rFonts w:ascii="仿宋" w:eastAsia="仿宋" w:hAnsi="仿宋"/>
          <w:sz w:val="32"/>
          <w:szCs w:val="32"/>
        </w:rPr>
      </w:pPr>
      <w:r w:rsidRPr="004D35CE">
        <w:rPr>
          <w:rFonts w:ascii="仿宋" w:eastAsia="仿宋" w:hAnsi="仿宋" w:hint="eastAsia"/>
          <w:sz w:val="32"/>
          <w:szCs w:val="32"/>
        </w:rPr>
        <w:t>3．人员情况：参公事业编制数23人，年末在职人数23人，离休1人，退休13人，遗属人员3人。</w:t>
      </w:r>
    </w:p>
    <w:p w:rsidR="00123B96" w:rsidRDefault="00072994">
      <w:pPr>
        <w:numPr>
          <w:ilvl w:val="0"/>
          <w:numId w:val="1"/>
        </w:numPr>
        <w:adjustRightInd w:val="0"/>
        <w:snapToGrid w:val="0"/>
        <w:spacing w:line="560" w:lineRule="exact"/>
        <w:ind w:firstLineChars="200" w:firstLine="640"/>
        <w:rPr>
          <w:rFonts w:eastAsia="仿宋_GB2312"/>
          <w:sz w:val="32"/>
          <w:szCs w:val="32"/>
        </w:rPr>
      </w:pPr>
      <w:r>
        <w:rPr>
          <w:rFonts w:eastAsia="仿宋_GB2312"/>
          <w:sz w:val="32"/>
          <w:szCs w:val="32"/>
        </w:rPr>
        <w:t>项目基本情况简介</w:t>
      </w:r>
      <w:r>
        <w:rPr>
          <w:rFonts w:eastAsia="仿宋_GB2312" w:hint="eastAsia"/>
          <w:sz w:val="32"/>
          <w:szCs w:val="32"/>
        </w:rPr>
        <w:t>。</w:t>
      </w:r>
    </w:p>
    <w:p w:rsidR="00123B96" w:rsidRPr="004D35CE" w:rsidRDefault="005B4BC4" w:rsidP="004950D9">
      <w:pPr>
        <w:ind w:firstLineChars="250" w:firstLine="800"/>
        <w:rPr>
          <w:rFonts w:ascii="仿宋" w:eastAsia="仿宋" w:hAnsi="仿宋" w:cs="仿宋_GB2312"/>
          <w:sz w:val="32"/>
          <w:szCs w:val="32"/>
        </w:rPr>
      </w:pPr>
      <w:r w:rsidRPr="004D35CE">
        <w:rPr>
          <w:rFonts w:ascii="仿宋" w:eastAsia="仿宋" w:hAnsi="仿宋" w:cs="仿宋_GB2312" w:hint="eastAsia"/>
          <w:sz w:val="32"/>
          <w:szCs w:val="32"/>
        </w:rPr>
        <w:t>农机安全生产监理</w:t>
      </w:r>
      <w:r w:rsidR="00072994" w:rsidRPr="004D35CE">
        <w:rPr>
          <w:rFonts w:ascii="仿宋" w:eastAsia="仿宋" w:hAnsi="仿宋" w:cs="仿宋_GB2312" w:hint="eastAsia"/>
          <w:sz w:val="32"/>
          <w:szCs w:val="32"/>
        </w:rPr>
        <w:t>经费是确保我县</w:t>
      </w:r>
      <w:r w:rsidRPr="004D35CE">
        <w:rPr>
          <w:rFonts w:ascii="仿宋" w:eastAsia="仿宋" w:hAnsi="仿宋" w:cs="仿宋_GB2312" w:hint="eastAsia"/>
          <w:sz w:val="32"/>
          <w:szCs w:val="32"/>
        </w:rPr>
        <w:t>农机安全生产</w:t>
      </w:r>
      <w:r w:rsidR="00072994" w:rsidRPr="004D35CE">
        <w:rPr>
          <w:rFonts w:ascii="仿宋" w:eastAsia="仿宋" w:hAnsi="仿宋" w:cs="仿宋_GB2312" w:hint="eastAsia"/>
          <w:sz w:val="32"/>
          <w:szCs w:val="32"/>
        </w:rPr>
        <w:t>工作顺利开展，</w:t>
      </w:r>
      <w:r w:rsidRPr="004D35CE">
        <w:rPr>
          <w:rFonts w:ascii="仿宋" w:eastAsia="仿宋" w:hAnsi="仿宋" w:hint="eastAsia"/>
          <w:sz w:val="32"/>
          <w:szCs w:val="32"/>
        </w:rPr>
        <w:t>认真抓好农机安全生产工作，搞好农业机械的年检、审验和上户挂牌；做好农机驾驶员的考试、发证和换证、审验和安全生产监督管理工作；认真开展好业务培训工作。</w:t>
      </w:r>
    </w:p>
    <w:p w:rsidR="00123B96" w:rsidRDefault="00072994">
      <w:pPr>
        <w:adjustRightInd w:val="0"/>
        <w:snapToGrid w:val="0"/>
        <w:spacing w:line="560" w:lineRule="exact"/>
        <w:ind w:firstLineChars="200" w:firstLine="640"/>
        <w:outlineLvl w:val="0"/>
        <w:rPr>
          <w:rFonts w:eastAsia="黑体"/>
          <w:sz w:val="32"/>
          <w:szCs w:val="32"/>
        </w:rPr>
      </w:pPr>
      <w:r>
        <w:rPr>
          <w:rFonts w:eastAsia="黑体"/>
          <w:sz w:val="32"/>
          <w:szCs w:val="32"/>
        </w:rPr>
        <w:t>二、项目资金使用及管理情况</w:t>
      </w:r>
    </w:p>
    <w:p w:rsidR="004950D9" w:rsidRPr="004D35CE" w:rsidRDefault="004950D9" w:rsidP="004950D9">
      <w:pPr>
        <w:ind w:firstLineChars="250" w:firstLine="800"/>
        <w:rPr>
          <w:rFonts w:ascii="仿宋" w:eastAsia="仿宋" w:hAnsi="仿宋"/>
          <w:sz w:val="32"/>
          <w:szCs w:val="32"/>
        </w:rPr>
      </w:pPr>
      <w:r w:rsidRPr="004D35CE">
        <w:rPr>
          <w:rFonts w:ascii="仿宋" w:eastAsia="仿宋" w:hAnsi="仿宋" w:cs="仿宋_GB2312" w:hint="eastAsia"/>
          <w:sz w:val="32"/>
          <w:szCs w:val="32"/>
        </w:rPr>
        <w:t>农机安全生产监理经费</w:t>
      </w:r>
      <w:r w:rsidRPr="004D35CE">
        <w:rPr>
          <w:rFonts w:ascii="仿宋" w:eastAsia="仿宋" w:hAnsi="仿宋" w:hint="eastAsia"/>
          <w:sz w:val="32"/>
          <w:szCs w:val="32"/>
        </w:rPr>
        <w:t>主要用于开展农机安全生产工作，农业机械的年检、审验和上户挂牌支出；农机驾驶员的</w:t>
      </w:r>
      <w:r w:rsidRPr="004D35CE">
        <w:rPr>
          <w:rFonts w:ascii="仿宋" w:eastAsia="仿宋" w:hAnsi="仿宋" w:hint="eastAsia"/>
          <w:sz w:val="32"/>
          <w:szCs w:val="32"/>
        </w:rPr>
        <w:lastRenderedPageBreak/>
        <w:t>考试、发证和换证、审验和安全生产监督相关支出；开展业务培训工作支出，并且严格按照财政预算和资金使用方案使用。</w:t>
      </w:r>
      <w:r w:rsidR="00533905">
        <w:rPr>
          <w:rFonts w:ascii="仿宋" w:eastAsia="仿宋" w:hAnsi="仿宋" w:hint="eastAsia"/>
          <w:sz w:val="32"/>
          <w:szCs w:val="32"/>
        </w:rPr>
        <w:t>具体用于以下</w:t>
      </w:r>
      <w:r w:rsidR="00490D28">
        <w:rPr>
          <w:rFonts w:ascii="仿宋" w:eastAsia="仿宋" w:hAnsi="仿宋" w:hint="eastAsia"/>
          <w:sz w:val="32"/>
          <w:szCs w:val="32"/>
        </w:rPr>
        <w:t>五</w:t>
      </w:r>
      <w:r w:rsidR="00533905">
        <w:rPr>
          <w:rFonts w:ascii="仿宋" w:eastAsia="仿宋" w:hAnsi="仿宋" w:hint="eastAsia"/>
          <w:sz w:val="32"/>
          <w:szCs w:val="32"/>
        </w:rPr>
        <w:t>个方面的支出：1</w:t>
      </w:r>
      <w:r w:rsidR="00D32013">
        <w:rPr>
          <w:rFonts w:ascii="仿宋" w:eastAsia="仿宋" w:hAnsi="仿宋" w:hint="eastAsia"/>
          <w:sz w:val="32"/>
          <w:szCs w:val="32"/>
        </w:rPr>
        <w:t>、差旅费</w:t>
      </w:r>
      <w:r w:rsidR="00490D28">
        <w:rPr>
          <w:rFonts w:ascii="仿宋" w:eastAsia="仿宋" w:hAnsi="仿宋" w:hint="eastAsia"/>
          <w:sz w:val="32"/>
          <w:szCs w:val="32"/>
        </w:rPr>
        <w:t>16663.5</w:t>
      </w:r>
      <w:r w:rsidR="00D32013">
        <w:rPr>
          <w:rFonts w:ascii="仿宋" w:eastAsia="仿宋" w:hAnsi="仿宋" w:hint="eastAsia"/>
          <w:sz w:val="32"/>
          <w:szCs w:val="32"/>
        </w:rPr>
        <w:t>元；2、培训费</w:t>
      </w:r>
      <w:r w:rsidR="00490D28">
        <w:rPr>
          <w:rFonts w:ascii="仿宋" w:eastAsia="仿宋" w:hAnsi="仿宋" w:hint="eastAsia"/>
          <w:sz w:val="32"/>
          <w:szCs w:val="32"/>
        </w:rPr>
        <w:t>118280</w:t>
      </w:r>
      <w:r w:rsidR="00D32013">
        <w:rPr>
          <w:rFonts w:ascii="仿宋" w:eastAsia="仿宋" w:hAnsi="仿宋" w:hint="eastAsia"/>
          <w:sz w:val="32"/>
          <w:szCs w:val="32"/>
        </w:rPr>
        <w:t>元；3、会议费</w:t>
      </w:r>
      <w:r w:rsidR="00490D28">
        <w:rPr>
          <w:rFonts w:ascii="仿宋" w:eastAsia="仿宋" w:hAnsi="仿宋" w:hint="eastAsia"/>
          <w:sz w:val="32"/>
          <w:szCs w:val="32"/>
        </w:rPr>
        <w:t>15690.5</w:t>
      </w:r>
      <w:r w:rsidR="00D32013">
        <w:rPr>
          <w:rFonts w:ascii="仿宋" w:eastAsia="仿宋" w:hAnsi="仿宋" w:hint="eastAsia"/>
          <w:sz w:val="32"/>
          <w:szCs w:val="32"/>
        </w:rPr>
        <w:t>元；</w:t>
      </w:r>
      <w:r w:rsidR="00490D28">
        <w:rPr>
          <w:rFonts w:ascii="仿宋" w:eastAsia="仿宋" w:hAnsi="仿宋" w:hint="eastAsia"/>
          <w:sz w:val="32"/>
          <w:szCs w:val="32"/>
        </w:rPr>
        <w:t>4</w:t>
      </w:r>
      <w:r w:rsidR="00D32013">
        <w:rPr>
          <w:rFonts w:ascii="仿宋" w:eastAsia="仿宋" w:hAnsi="仿宋" w:hint="eastAsia"/>
          <w:sz w:val="32"/>
          <w:szCs w:val="32"/>
        </w:rPr>
        <w:t>、印刷费</w:t>
      </w:r>
      <w:r w:rsidR="00490D28">
        <w:rPr>
          <w:rFonts w:ascii="仿宋" w:eastAsia="仿宋" w:hAnsi="仿宋" w:hint="eastAsia"/>
          <w:sz w:val="32"/>
          <w:szCs w:val="32"/>
        </w:rPr>
        <w:t>15630</w:t>
      </w:r>
      <w:r w:rsidR="00D32013">
        <w:rPr>
          <w:rFonts w:ascii="仿宋" w:eastAsia="仿宋" w:hAnsi="仿宋" w:hint="eastAsia"/>
          <w:sz w:val="32"/>
          <w:szCs w:val="32"/>
        </w:rPr>
        <w:t>元；</w:t>
      </w:r>
      <w:r w:rsidR="00490D28">
        <w:rPr>
          <w:rFonts w:ascii="仿宋" w:eastAsia="仿宋" w:hAnsi="仿宋" w:hint="eastAsia"/>
          <w:sz w:val="32"/>
          <w:szCs w:val="32"/>
        </w:rPr>
        <w:t>5</w:t>
      </w:r>
      <w:r w:rsidR="00D32013">
        <w:rPr>
          <w:rFonts w:ascii="仿宋" w:eastAsia="仿宋" w:hAnsi="仿宋" w:hint="eastAsia"/>
          <w:sz w:val="32"/>
          <w:szCs w:val="32"/>
        </w:rPr>
        <w:t>、其他交通费用</w:t>
      </w:r>
      <w:r w:rsidR="00490D28">
        <w:rPr>
          <w:rFonts w:ascii="仿宋" w:eastAsia="仿宋" w:hAnsi="仿宋" w:hint="eastAsia"/>
          <w:sz w:val="32"/>
          <w:szCs w:val="32"/>
        </w:rPr>
        <w:t>33736</w:t>
      </w:r>
      <w:r w:rsidR="00D32013">
        <w:rPr>
          <w:rFonts w:ascii="仿宋" w:eastAsia="仿宋" w:hAnsi="仿宋" w:hint="eastAsia"/>
          <w:sz w:val="32"/>
          <w:szCs w:val="32"/>
        </w:rPr>
        <w:t>元。</w:t>
      </w:r>
    </w:p>
    <w:p w:rsidR="00123B96" w:rsidRDefault="00072994">
      <w:pPr>
        <w:adjustRightInd w:val="0"/>
        <w:snapToGrid w:val="0"/>
        <w:spacing w:line="560" w:lineRule="exact"/>
        <w:ind w:firstLineChars="200" w:firstLine="640"/>
        <w:outlineLvl w:val="0"/>
        <w:rPr>
          <w:rFonts w:eastAsia="黑体"/>
          <w:sz w:val="32"/>
          <w:szCs w:val="32"/>
        </w:rPr>
      </w:pPr>
      <w:r>
        <w:rPr>
          <w:rFonts w:eastAsia="黑体"/>
          <w:sz w:val="32"/>
          <w:szCs w:val="32"/>
        </w:rPr>
        <w:t>三、项目组织实施情况</w:t>
      </w:r>
    </w:p>
    <w:p w:rsidR="004D35CE" w:rsidRPr="004D35CE" w:rsidRDefault="004950D9">
      <w:pPr>
        <w:adjustRightInd w:val="0"/>
        <w:snapToGrid w:val="0"/>
        <w:spacing w:line="560" w:lineRule="exact"/>
        <w:ind w:firstLineChars="200" w:firstLine="640"/>
        <w:outlineLvl w:val="0"/>
        <w:rPr>
          <w:rFonts w:ascii="仿宋" w:eastAsia="仿宋" w:hAnsi="仿宋" w:cs="仿宋_GB2312"/>
          <w:sz w:val="32"/>
          <w:szCs w:val="32"/>
        </w:rPr>
      </w:pPr>
      <w:r w:rsidRPr="004D35CE">
        <w:rPr>
          <w:rFonts w:ascii="仿宋" w:eastAsia="仿宋" w:hAnsi="仿宋" w:cs="仿宋_GB2312" w:hint="eastAsia"/>
          <w:sz w:val="32"/>
          <w:szCs w:val="32"/>
        </w:rPr>
        <w:t>宣传发动</w:t>
      </w:r>
      <w:r w:rsidR="004978F9">
        <w:rPr>
          <w:rFonts w:ascii="仿宋" w:eastAsia="仿宋" w:hAnsi="仿宋" w:cs="仿宋_GB2312" w:hint="eastAsia"/>
          <w:sz w:val="32"/>
          <w:szCs w:val="32"/>
        </w:rPr>
        <w:t>阶段</w:t>
      </w:r>
      <w:r w:rsidR="00072994" w:rsidRPr="004D35CE">
        <w:rPr>
          <w:rFonts w:ascii="仿宋" w:eastAsia="仿宋" w:hAnsi="仿宋" w:cs="仿宋_GB2312" w:hint="eastAsia"/>
          <w:sz w:val="32"/>
          <w:szCs w:val="32"/>
        </w:rPr>
        <w:t>：2017年3月1日-2017年4月30日为</w:t>
      </w:r>
      <w:r w:rsidRPr="004D35CE">
        <w:rPr>
          <w:rFonts w:ascii="仿宋" w:eastAsia="仿宋" w:hAnsi="仿宋" w:cs="仿宋_GB2312" w:hint="eastAsia"/>
          <w:sz w:val="32"/>
          <w:szCs w:val="32"/>
        </w:rPr>
        <w:t>安全生产宣传</w:t>
      </w:r>
      <w:r w:rsidR="004D35CE" w:rsidRPr="004D35CE">
        <w:rPr>
          <w:rFonts w:ascii="仿宋" w:eastAsia="仿宋" w:hAnsi="仿宋" w:cs="仿宋_GB2312" w:hint="eastAsia"/>
          <w:sz w:val="32"/>
          <w:szCs w:val="32"/>
        </w:rPr>
        <w:t>时期。</w:t>
      </w:r>
    </w:p>
    <w:p w:rsidR="00123B96" w:rsidRPr="004D35CE" w:rsidRDefault="004D35CE">
      <w:pPr>
        <w:adjustRightInd w:val="0"/>
        <w:snapToGrid w:val="0"/>
        <w:spacing w:line="560" w:lineRule="exact"/>
        <w:ind w:firstLineChars="200" w:firstLine="640"/>
        <w:outlineLvl w:val="0"/>
        <w:rPr>
          <w:rFonts w:ascii="仿宋" w:eastAsia="仿宋" w:hAnsi="仿宋" w:cs="仿宋_GB2312"/>
          <w:sz w:val="32"/>
          <w:szCs w:val="32"/>
        </w:rPr>
      </w:pPr>
      <w:r w:rsidRPr="004D35CE">
        <w:rPr>
          <w:rFonts w:ascii="仿宋" w:eastAsia="仿宋" w:hAnsi="仿宋" w:cs="仿宋_GB2312" w:hint="eastAsia"/>
          <w:sz w:val="32"/>
          <w:szCs w:val="32"/>
        </w:rPr>
        <w:t>年检实施</w:t>
      </w:r>
      <w:r w:rsidR="004978F9">
        <w:rPr>
          <w:rFonts w:ascii="仿宋" w:eastAsia="仿宋" w:hAnsi="仿宋" w:cs="仿宋_GB2312" w:hint="eastAsia"/>
          <w:sz w:val="32"/>
          <w:szCs w:val="32"/>
        </w:rPr>
        <w:t>阶段</w:t>
      </w:r>
      <w:r w:rsidRPr="004D35CE">
        <w:rPr>
          <w:rFonts w:ascii="仿宋" w:eastAsia="仿宋" w:hAnsi="仿宋" w:cs="仿宋_GB2312" w:hint="eastAsia"/>
          <w:sz w:val="32"/>
          <w:szCs w:val="32"/>
        </w:rPr>
        <w:t>：</w:t>
      </w:r>
      <w:r w:rsidR="00072994" w:rsidRPr="004D35CE">
        <w:rPr>
          <w:rFonts w:ascii="仿宋" w:eastAsia="仿宋" w:hAnsi="仿宋" w:cs="仿宋_GB2312" w:hint="eastAsia"/>
          <w:sz w:val="32"/>
          <w:szCs w:val="32"/>
        </w:rPr>
        <w:t>2017年</w:t>
      </w:r>
      <w:r w:rsidR="004950D9" w:rsidRPr="004D35CE">
        <w:rPr>
          <w:rFonts w:ascii="仿宋" w:eastAsia="仿宋" w:hAnsi="仿宋" w:cs="仿宋_GB2312" w:hint="eastAsia"/>
          <w:sz w:val="32"/>
          <w:szCs w:val="32"/>
        </w:rPr>
        <w:t>5</w:t>
      </w:r>
      <w:r w:rsidR="00072994" w:rsidRPr="004D35CE">
        <w:rPr>
          <w:rFonts w:ascii="仿宋" w:eastAsia="仿宋" w:hAnsi="仿宋" w:cs="仿宋_GB2312" w:hint="eastAsia"/>
          <w:sz w:val="32"/>
          <w:szCs w:val="32"/>
        </w:rPr>
        <w:t>月1日-2017年</w:t>
      </w:r>
      <w:r w:rsidR="004950D9" w:rsidRPr="004D35CE">
        <w:rPr>
          <w:rFonts w:ascii="仿宋" w:eastAsia="仿宋" w:hAnsi="仿宋" w:cs="仿宋_GB2312" w:hint="eastAsia"/>
          <w:sz w:val="32"/>
          <w:szCs w:val="32"/>
        </w:rPr>
        <w:t>5</w:t>
      </w:r>
      <w:r w:rsidR="00072994" w:rsidRPr="004D35CE">
        <w:rPr>
          <w:rFonts w:ascii="仿宋" w:eastAsia="仿宋" w:hAnsi="仿宋" w:cs="仿宋_GB2312" w:hint="eastAsia"/>
          <w:sz w:val="32"/>
          <w:szCs w:val="32"/>
        </w:rPr>
        <w:t>月31日为</w:t>
      </w:r>
      <w:r w:rsidRPr="004D35CE">
        <w:rPr>
          <w:rFonts w:ascii="仿宋" w:eastAsia="仿宋" w:hAnsi="仿宋" w:cs="仿宋_GB2312" w:hint="eastAsia"/>
          <w:sz w:val="32"/>
          <w:szCs w:val="32"/>
        </w:rPr>
        <w:t>拖拉机年检时期</w:t>
      </w:r>
      <w:r w:rsidR="00072994" w:rsidRPr="004D35CE">
        <w:rPr>
          <w:rFonts w:ascii="仿宋" w:eastAsia="仿宋" w:hAnsi="仿宋" w:cs="仿宋_GB2312" w:hint="eastAsia"/>
          <w:sz w:val="32"/>
          <w:szCs w:val="32"/>
        </w:rPr>
        <w:t>。</w:t>
      </w:r>
    </w:p>
    <w:p w:rsidR="00123B96" w:rsidRPr="004D35CE" w:rsidRDefault="004978F9">
      <w:pPr>
        <w:adjustRightInd w:val="0"/>
        <w:snapToGrid w:val="0"/>
        <w:spacing w:line="56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路检督查阶段</w:t>
      </w:r>
      <w:r w:rsidR="00072994" w:rsidRPr="004D35CE">
        <w:rPr>
          <w:rFonts w:ascii="仿宋" w:eastAsia="仿宋" w:hAnsi="仿宋" w:cs="仿宋_GB2312" w:hint="eastAsia"/>
          <w:sz w:val="32"/>
          <w:szCs w:val="32"/>
        </w:rPr>
        <w:t>：2017年</w:t>
      </w:r>
      <w:r w:rsidR="004D35CE" w:rsidRPr="004D35CE">
        <w:rPr>
          <w:rFonts w:ascii="仿宋" w:eastAsia="仿宋" w:hAnsi="仿宋" w:cs="仿宋_GB2312" w:hint="eastAsia"/>
          <w:sz w:val="32"/>
          <w:szCs w:val="32"/>
        </w:rPr>
        <w:t>6</w:t>
      </w:r>
      <w:r w:rsidR="00072994" w:rsidRPr="004D35CE">
        <w:rPr>
          <w:rFonts w:ascii="仿宋" w:eastAsia="仿宋" w:hAnsi="仿宋" w:cs="仿宋_GB2312" w:hint="eastAsia"/>
          <w:sz w:val="32"/>
          <w:szCs w:val="32"/>
        </w:rPr>
        <w:t>月-2017年</w:t>
      </w:r>
      <w:r w:rsidR="004D35CE" w:rsidRPr="004D35CE">
        <w:rPr>
          <w:rFonts w:ascii="仿宋" w:eastAsia="仿宋" w:hAnsi="仿宋" w:cs="仿宋_GB2312" w:hint="eastAsia"/>
          <w:sz w:val="32"/>
          <w:szCs w:val="32"/>
        </w:rPr>
        <w:t>12</w:t>
      </w:r>
      <w:r w:rsidR="00072994" w:rsidRPr="004D35CE">
        <w:rPr>
          <w:rFonts w:ascii="仿宋" w:eastAsia="仿宋" w:hAnsi="仿宋" w:cs="仿宋_GB2312" w:hint="eastAsia"/>
          <w:sz w:val="32"/>
          <w:szCs w:val="32"/>
        </w:rPr>
        <w:t>月为</w:t>
      </w:r>
      <w:r w:rsidR="004D35CE" w:rsidRPr="004D35CE">
        <w:rPr>
          <w:rFonts w:ascii="仿宋" w:eastAsia="仿宋" w:hAnsi="仿宋" w:cs="仿宋_GB2312" w:hint="eastAsia"/>
          <w:sz w:val="32"/>
          <w:szCs w:val="32"/>
        </w:rPr>
        <w:t>主抓安全生产工作，上路进行拖拉机路检，违规人货混装，未年检手续不全的车辆，督促机手完善手续</w:t>
      </w:r>
      <w:r w:rsidR="00072994" w:rsidRPr="004D35CE">
        <w:rPr>
          <w:rFonts w:ascii="仿宋" w:eastAsia="仿宋" w:hAnsi="仿宋" w:cs="仿宋_GB2312" w:hint="eastAsia"/>
          <w:sz w:val="32"/>
          <w:szCs w:val="32"/>
        </w:rPr>
        <w:t>。</w:t>
      </w:r>
    </w:p>
    <w:p w:rsidR="00123B96" w:rsidRDefault="00072994">
      <w:pPr>
        <w:adjustRightInd w:val="0"/>
        <w:snapToGrid w:val="0"/>
        <w:spacing w:line="560" w:lineRule="exact"/>
        <w:outlineLvl w:val="0"/>
        <w:rPr>
          <w:rFonts w:eastAsia="黑体"/>
          <w:sz w:val="32"/>
          <w:szCs w:val="32"/>
        </w:rPr>
      </w:pPr>
      <w:r>
        <w:rPr>
          <w:rFonts w:eastAsia="黑体"/>
          <w:sz w:val="32"/>
          <w:szCs w:val="32"/>
        </w:rPr>
        <w:t>四、项目绩效情况</w:t>
      </w:r>
    </w:p>
    <w:p w:rsidR="00123B96" w:rsidRPr="004D35CE" w:rsidRDefault="004D35CE">
      <w:pPr>
        <w:adjustRightInd w:val="0"/>
        <w:snapToGrid w:val="0"/>
        <w:spacing w:line="560" w:lineRule="exact"/>
        <w:ind w:firstLineChars="200" w:firstLine="640"/>
        <w:outlineLvl w:val="0"/>
        <w:rPr>
          <w:rFonts w:ascii="仿宋" w:eastAsia="仿宋" w:hAnsi="仿宋" w:cs="仿宋_GB2312"/>
          <w:sz w:val="32"/>
          <w:szCs w:val="32"/>
        </w:rPr>
      </w:pPr>
      <w:r w:rsidRPr="004D35CE">
        <w:rPr>
          <w:rFonts w:ascii="仿宋" w:eastAsia="仿宋" w:hAnsi="仿宋" w:cs="仿宋_GB2312" w:hint="eastAsia"/>
          <w:sz w:val="32"/>
          <w:szCs w:val="32"/>
        </w:rPr>
        <w:t>农机安全生产工作</w:t>
      </w:r>
      <w:r w:rsidR="00072994" w:rsidRPr="004D35CE">
        <w:rPr>
          <w:rFonts w:ascii="仿宋" w:eastAsia="仿宋" w:hAnsi="仿宋" w:cs="仿宋_GB2312" w:hint="eastAsia"/>
          <w:sz w:val="32"/>
          <w:szCs w:val="32"/>
        </w:rPr>
        <w:t>的本年度绩效目标基本达成，1.确保了</w:t>
      </w:r>
      <w:r w:rsidRPr="004D35CE">
        <w:rPr>
          <w:rFonts w:ascii="仿宋" w:eastAsia="仿宋" w:hAnsi="仿宋" w:cs="仿宋_GB2312" w:hint="eastAsia"/>
          <w:sz w:val="32"/>
          <w:szCs w:val="32"/>
        </w:rPr>
        <w:t>农机工作顺利开展</w:t>
      </w:r>
      <w:r w:rsidR="00072994" w:rsidRPr="004D35CE">
        <w:rPr>
          <w:rFonts w:ascii="仿宋" w:eastAsia="仿宋" w:hAnsi="仿宋" w:cs="仿宋_GB2312" w:hint="eastAsia"/>
          <w:sz w:val="32"/>
          <w:szCs w:val="32"/>
        </w:rPr>
        <w:t>。</w:t>
      </w:r>
      <w:r w:rsidRPr="004D35CE">
        <w:rPr>
          <w:rFonts w:ascii="仿宋" w:eastAsia="仿宋" w:hAnsi="仿宋" w:cs="仿宋_GB2312" w:hint="eastAsia"/>
          <w:sz w:val="32"/>
          <w:szCs w:val="32"/>
        </w:rPr>
        <w:t>2</w:t>
      </w:r>
      <w:r w:rsidR="00072994" w:rsidRPr="004D35CE">
        <w:rPr>
          <w:rFonts w:ascii="仿宋" w:eastAsia="仿宋" w:hAnsi="仿宋" w:cs="仿宋_GB2312" w:hint="eastAsia"/>
          <w:sz w:val="32"/>
          <w:szCs w:val="32"/>
        </w:rPr>
        <w:t>.</w:t>
      </w:r>
      <w:r w:rsidRPr="004D35CE">
        <w:rPr>
          <w:rFonts w:ascii="仿宋" w:eastAsia="仿宋" w:hAnsi="仿宋" w:cs="仿宋_GB2312" w:hint="eastAsia"/>
          <w:sz w:val="32"/>
          <w:szCs w:val="32"/>
        </w:rPr>
        <w:t>加强宣传力度，确保百姓财产和生命安全。3、加强路检，减少和把安全生产事故降到最低。4、抓好了现代农机合作社的安全生产作业，提高了作业受益。</w:t>
      </w:r>
    </w:p>
    <w:p w:rsidR="00123B96" w:rsidRPr="004D35CE" w:rsidRDefault="00123B96">
      <w:pPr>
        <w:adjustRightInd w:val="0"/>
        <w:snapToGrid w:val="0"/>
        <w:spacing w:line="560" w:lineRule="exact"/>
        <w:ind w:firstLineChars="200" w:firstLine="640"/>
        <w:outlineLvl w:val="0"/>
        <w:rPr>
          <w:rFonts w:ascii="仿宋" w:eastAsia="仿宋" w:hAnsi="仿宋" w:cs="仿宋_GB2312"/>
          <w:sz w:val="32"/>
          <w:szCs w:val="32"/>
        </w:rPr>
      </w:pPr>
    </w:p>
    <w:p w:rsidR="004D35CE" w:rsidRDefault="004D35CE">
      <w:pPr>
        <w:adjustRightInd w:val="0"/>
        <w:snapToGrid w:val="0"/>
        <w:spacing w:line="560" w:lineRule="exact"/>
        <w:ind w:firstLineChars="200" w:firstLine="640"/>
        <w:jc w:val="right"/>
        <w:outlineLvl w:val="0"/>
        <w:rPr>
          <w:rFonts w:ascii="仿宋" w:eastAsia="仿宋" w:hAnsi="仿宋" w:cs="仿宋_GB2312"/>
          <w:sz w:val="32"/>
          <w:szCs w:val="32"/>
        </w:rPr>
      </w:pPr>
    </w:p>
    <w:p w:rsidR="004D35CE" w:rsidRDefault="004D35CE">
      <w:pPr>
        <w:adjustRightInd w:val="0"/>
        <w:snapToGrid w:val="0"/>
        <w:spacing w:line="560" w:lineRule="exact"/>
        <w:ind w:firstLineChars="200" w:firstLine="640"/>
        <w:jc w:val="right"/>
        <w:outlineLvl w:val="0"/>
        <w:rPr>
          <w:rFonts w:ascii="仿宋" w:eastAsia="仿宋" w:hAnsi="仿宋" w:cs="仿宋_GB2312"/>
          <w:sz w:val="32"/>
          <w:szCs w:val="32"/>
        </w:rPr>
      </w:pPr>
    </w:p>
    <w:p w:rsidR="00123B96" w:rsidRPr="004D35CE" w:rsidRDefault="00072994">
      <w:pPr>
        <w:adjustRightInd w:val="0"/>
        <w:snapToGrid w:val="0"/>
        <w:spacing w:line="560" w:lineRule="exact"/>
        <w:ind w:firstLineChars="200" w:firstLine="640"/>
        <w:jc w:val="right"/>
        <w:outlineLvl w:val="0"/>
        <w:rPr>
          <w:rFonts w:ascii="仿宋" w:eastAsia="仿宋" w:hAnsi="仿宋" w:cs="仿宋_GB2312"/>
          <w:sz w:val="32"/>
          <w:szCs w:val="32"/>
        </w:rPr>
      </w:pPr>
      <w:r w:rsidRPr="004D35CE">
        <w:rPr>
          <w:rFonts w:ascii="仿宋" w:eastAsia="仿宋" w:hAnsi="仿宋" w:cs="仿宋_GB2312" w:hint="eastAsia"/>
          <w:sz w:val="32"/>
          <w:szCs w:val="32"/>
        </w:rPr>
        <w:t>炎陵县</w:t>
      </w:r>
      <w:r w:rsidR="004D35CE" w:rsidRPr="004D35CE">
        <w:rPr>
          <w:rFonts w:ascii="仿宋" w:eastAsia="仿宋" w:hAnsi="仿宋" w:cs="仿宋_GB2312" w:hint="eastAsia"/>
          <w:sz w:val="32"/>
          <w:szCs w:val="32"/>
        </w:rPr>
        <w:t>农业机械管理局</w:t>
      </w:r>
    </w:p>
    <w:p w:rsidR="00123B96" w:rsidRPr="004D35CE" w:rsidRDefault="00072994">
      <w:pPr>
        <w:adjustRightInd w:val="0"/>
        <w:snapToGrid w:val="0"/>
        <w:spacing w:line="560" w:lineRule="exact"/>
        <w:ind w:firstLineChars="200" w:firstLine="640"/>
        <w:jc w:val="right"/>
        <w:rPr>
          <w:rFonts w:ascii="仿宋" w:eastAsia="仿宋" w:hAnsi="仿宋"/>
          <w:sz w:val="32"/>
          <w:szCs w:val="32"/>
        </w:rPr>
      </w:pPr>
      <w:r w:rsidRPr="004D35CE">
        <w:rPr>
          <w:rFonts w:ascii="仿宋" w:eastAsia="仿宋" w:hAnsi="仿宋" w:cs="仿宋_GB2312" w:hint="eastAsia"/>
          <w:sz w:val="32"/>
          <w:szCs w:val="32"/>
        </w:rPr>
        <w:t>2018年8月</w:t>
      </w:r>
      <w:r w:rsidR="004D35CE" w:rsidRPr="004D35CE">
        <w:rPr>
          <w:rFonts w:ascii="仿宋" w:eastAsia="仿宋" w:hAnsi="仿宋" w:cs="仿宋_GB2312" w:hint="eastAsia"/>
          <w:sz w:val="32"/>
          <w:szCs w:val="32"/>
        </w:rPr>
        <w:t>10</w:t>
      </w:r>
      <w:r w:rsidRPr="004D35CE">
        <w:rPr>
          <w:rFonts w:ascii="仿宋" w:eastAsia="仿宋" w:hAnsi="仿宋" w:cs="仿宋_GB2312" w:hint="eastAsia"/>
          <w:sz w:val="32"/>
          <w:szCs w:val="32"/>
        </w:rPr>
        <w:t>日</w:t>
      </w:r>
    </w:p>
    <w:p w:rsidR="00123B96" w:rsidRPr="004D35CE" w:rsidRDefault="00123B96">
      <w:pPr>
        <w:rPr>
          <w:rFonts w:ascii="仿宋" w:eastAsia="仿宋" w:hAnsi="仿宋"/>
        </w:rPr>
        <w:sectPr w:rsidR="00123B96" w:rsidRPr="004D35CE">
          <w:headerReference w:type="default" r:id="rId8"/>
          <w:footerReference w:type="default" r:id="rId9"/>
          <w:footerReference w:type="first" r:id="rId10"/>
          <w:pgSz w:w="11906" w:h="16838"/>
          <w:pgMar w:top="1440" w:right="1800" w:bottom="1440" w:left="1800" w:header="851" w:footer="992" w:gutter="0"/>
          <w:pgNumType w:fmt="numberInDash"/>
          <w:cols w:space="425"/>
          <w:titlePg/>
          <w:docGrid w:type="lines" w:linePitch="312"/>
        </w:sectPr>
      </w:pPr>
    </w:p>
    <w:tbl>
      <w:tblPr>
        <w:tblW w:w="15185" w:type="dxa"/>
        <w:tblInd w:w="-252" w:type="dxa"/>
        <w:tblLayout w:type="fixed"/>
        <w:tblLook w:val="04A0"/>
      </w:tblPr>
      <w:tblGrid>
        <w:gridCol w:w="1225"/>
        <w:gridCol w:w="1160"/>
        <w:gridCol w:w="900"/>
        <w:gridCol w:w="135"/>
        <w:gridCol w:w="625"/>
        <w:gridCol w:w="4460"/>
        <w:gridCol w:w="5600"/>
        <w:gridCol w:w="1080"/>
      </w:tblGrid>
      <w:tr w:rsidR="00123B96">
        <w:trPr>
          <w:trHeight w:val="420"/>
          <w:tblHeader/>
        </w:trPr>
        <w:tc>
          <w:tcPr>
            <w:tcW w:w="1225" w:type="dxa"/>
            <w:tcBorders>
              <w:top w:val="nil"/>
              <w:left w:val="nil"/>
              <w:bottom w:val="nil"/>
              <w:right w:val="nil"/>
            </w:tcBorders>
            <w:shd w:val="clear" w:color="auto" w:fill="auto"/>
            <w:vAlign w:val="center"/>
          </w:tcPr>
          <w:p w:rsidR="00123B96" w:rsidRDefault="00072994">
            <w:pPr>
              <w:widowControl/>
              <w:jc w:val="left"/>
              <w:rPr>
                <w:rFonts w:eastAsia="黑体"/>
                <w:kern w:val="0"/>
                <w:sz w:val="28"/>
                <w:szCs w:val="28"/>
              </w:rPr>
            </w:pPr>
            <w:r>
              <w:rPr>
                <w:rFonts w:eastAsia="黑体" w:hAnsi="黑体"/>
                <w:kern w:val="0"/>
                <w:sz w:val="28"/>
                <w:szCs w:val="28"/>
              </w:rPr>
              <w:lastRenderedPageBreak/>
              <w:t>附件</w:t>
            </w:r>
            <w:r>
              <w:rPr>
                <w:rFonts w:eastAsia="黑体"/>
                <w:kern w:val="0"/>
                <w:sz w:val="28"/>
                <w:szCs w:val="28"/>
              </w:rPr>
              <w:t>2</w:t>
            </w:r>
          </w:p>
        </w:tc>
        <w:tc>
          <w:tcPr>
            <w:tcW w:w="1160" w:type="dxa"/>
            <w:tcBorders>
              <w:top w:val="nil"/>
              <w:left w:val="nil"/>
              <w:bottom w:val="nil"/>
              <w:right w:val="nil"/>
            </w:tcBorders>
            <w:shd w:val="clear" w:color="auto" w:fill="auto"/>
            <w:vAlign w:val="center"/>
          </w:tcPr>
          <w:p w:rsidR="00123B96" w:rsidRDefault="00123B96">
            <w:pPr>
              <w:widowControl/>
              <w:jc w:val="left"/>
              <w:rPr>
                <w:kern w:val="0"/>
                <w:sz w:val="24"/>
              </w:rPr>
            </w:pPr>
          </w:p>
        </w:tc>
        <w:tc>
          <w:tcPr>
            <w:tcW w:w="900" w:type="dxa"/>
            <w:tcBorders>
              <w:top w:val="nil"/>
              <w:left w:val="nil"/>
              <w:bottom w:val="nil"/>
              <w:right w:val="nil"/>
            </w:tcBorders>
            <w:shd w:val="clear" w:color="auto" w:fill="auto"/>
            <w:vAlign w:val="center"/>
          </w:tcPr>
          <w:p w:rsidR="00123B96" w:rsidRDefault="00123B96">
            <w:pPr>
              <w:widowControl/>
              <w:jc w:val="left"/>
              <w:rPr>
                <w:kern w:val="0"/>
                <w:sz w:val="24"/>
              </w:rPr>
            </w:pPr>
          </w:p>
        </w:tc>
        <w:tc>
          <w:tcPr>
            <w:tcW w:w="760" w:type="dxa"/>
            <w:gridSpan w:val="2"/>
            <w:tcBorders>
              <w:top w:val="nil"/>
              <w:left w:val="nil"/>
              <w:bottom w:val="nil"/>
              <w:right w:val="nil"/>
            </w:tcBorders>
            <w:shd w:val="clear" w:color="auto" w:fill="auto"/>
            <w:vAlign w:val="center"/>
          </w:tcPr>
          <w:p w:rsidR="00123B96" w:rsidRDefault="00123B96">
            <w:pPr>
              <w:widowControl/>
              <w:jc w:val="left"/>
              <w:rPr>
                <w:kern w:val="0"/>
                <w:sz w:val="24"/>
              </w:rPr>
            </w:pPr>
          </w:p>
        </w:tc>
        <w:tc>
          <w:tcPr>
            <w:tcW w:w="4460" w:type="dxa"/>
            <w:tcBorders>
              <w:top w:val="nil"/>
              <w:left w:val="nil"/>
              <w:bottom w:val="nil"/>
              <w:right w:val="nil"/>
            </w:tcBorders>
            <w:shd w:val="clear" w:color="auto" w:fill="auto"/>
            <w:vAlign w:val="center"/>
          </w:tcPr>
          <w:p w:rsidR="00123B96" w:rsidRDefault="00123B96">
            <w:pPr>
              <w:widowControl/>
              <w:jc w:val="left"/>
              <w:rPr>
                <w:kern w:val="0"/>
                <w:sz w:val="24"/>
              </w:rPr>
            </w:pPr>
          </w:p>
        </w:tc>
        <w:tc>
          <w:tcPr>
            <w:tcW w:w="5600" w:type="dxa"/>
            <w:tcBorders>
              <w:top w:val="nil"/>
              <w:left w:val="nil"/>
              <w:bottom w:val="nil"/>
              <w:right w:val="nil"/>
            </w:tcBorders>
            <w:shd w:val="clear" w:color="auto" w:fill="auto"/>
            <w:vAlign w:val="center"/>
          </w:tcPr>
          <w:p w:rsidR="00123B96" w:rsidRDefault="00123B96">
            <w:pPr>
              <w:widowControl/>
              <w:jc w:val="left"/>
              <w:rPr>
                <w:kern w:val="0"/>
                <w:sz w:val="24"/>
              </w:rPr>
            </w:pPr>
          </w:p>
        </w:tc>
        <w:tc>
          <w:tcPr>
            <w:tcW w:w="1080" w:type="dxa"/>
            <w:tcBorders>
              <w:top w:val="nil"/>
              <w:left w:val="nil"/>
              <w:bottom w:val="nil"/>
              <w:right w:val="nil"/>
            </w:tcBorders>
            <w:shd w:val="clear" w:color="auto" w:fill="auto"/>
            <w:vAlign w:val="center"/>
          </w:tcPr>
          <w:p w:rsidR="00123B96" w:rsidRDefault="00123B96">
            <w:pPr>
              <w:widowControl/>
              <w:jc w:val="left"/>
              <w:rPr>
                <w:kern w:val="0"/>
                <w:sz w:val="24"/>
              </w:rPr>
            </w:pPr>
          </w:p>
        </w:tc>
      </w:tr>
      <w:tr w:rsidR="00123B96">
        <w:trPr>
          <w:trHeight w:val="855"/>
          <w:tblHeader/>
        </w:trPr>
        <w:tc>
          <w:tcPr>
            <w:tcW w:w="15185" w:type="dxa"/>
            <w:gridSpan w:val="8"/>
            <w:tcBorders>
              <w:top w:val="nil"/>
              <w:left w:val="nil"/>
              <w:bottom w:val="nil"/>
              <w:right w:val="nil"/>
            </w:tcBorders>
            <w:shd w:val="clear" w:color="auto" w:fill="auto"/>
            <w:vAlign w:val="center"/>
          </w:tcPr>
          <w:p w:rsidR="00123B96" w:rsidRDefault="00072994">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123B96">
        <w:trPr>
          <w:trHeight w:val="750"/>
          <w:tblHead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自评分</w:t>
            </w:r>
          </w:p>
        </w:tc>
      </w:tr>
      <w:tr w:rsidR="00123B96">
        <w:trPr>
          <w:trHeight w:val="1169"/>
        </w:trPr>
        <w:tc>
          <w:tcPr>
            <w:tcW w:w="1225" w:type="dxa"/>
            <w:vMerge w:val="restart"/>
            <w:tcBorders>
              <w:top w:val="nil"/>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990"/>
        </w:trPr>
        <w:tc>
          <w:tcPr>
            <w:tcW w:w="1225"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1080"/>
        </w:trPr>
        <w:tc>
          <w:tcPr>
            <w:tcW w:w="1225"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840"/>
        </w:trPr>
        <w:tc>
          <w:tcPr>
            <w:tcW w:w="1225"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资金到位率</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3</w:t>
            </w:r>
            <w:r>
              <w:rPr>
                <w:rFonts w:hAnsi="宋体"/>
                <w:kern w:val="0"/>
                <w:sz w:val="24"/>
              </w:rPr>
              <w:t xml:space="preserve">　</w:t>
            </w:r>
          </w:p>
        </w:tc>
      </w:tr>
      <w:tr w:rsidR="00123B96">
        <w:trPr>
          <w:trHeight w:val="821"/>
        </w:trPr>
        <w:tc>
          <w:tcPr>
            <w:tcW w:w="1225"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到位及时率</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2</w:t>
            </w:r>
            <w:r>
              <w:rPr>
                <w:rFonts w:hAnsi="宋体"/>
                <w:kern w:val="0"/>
                <w:sz w:val="24"/>
              </w:rPr>
              <w:t xml:space="preserve">　</w:t>
            </w:r>
          </w:p>
        </w:tc>
      </w:tr>
      <w:tr w:rsidR="00123B96">
        <w:trPr>
          <w:trHeight w:val="855"/>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lastRenderedPageBreak/>
              <w:t>过程</w:t>
            </w:r>
          </w:p>
          <w:p w:rsidR="00123B96" w:rsidRDefault="00072994">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123B96" w:rsidRDefault="00123B96">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kern w:val="0"/>
                <w:sz w:val="24"/>
              </w:rPr>
              <w:t xml:space="preserve">　</w:t>
            </w:r>
            <w:r>
              <w:rPr>
                <w:rFonts w:hAnsi="宋体" w:hint="eastAsia"/>
                <w:kern w:val="0"/>
                <w:sz w:val="24"/>
              </w:rPr>
              <w:t>3</w:t>
            </w:r>
          </w:p>
        </w:tc>
      </w:tr>
      <w:tr w:rsidR="00123B96">
        <w:trPr>
          <w:trHeight w:val="1335"/>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855"/>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2</w:t>
            </w:r>
            <w:r>
              <w:rPr>
                <w:rFonts w:hAnsi="宋体"/>
                <w:kern w:val="0"/>
                <w:sz w:val="24"/>
              </w:rPr>
              <w:t xml:space="preserve">　</w:t>
            </w:r>
          </w:p>
        </w:tc>
      </w:tr>
      <w:tr w:rsidR="00123B96">
        <w:trPr>
          <w:trHeight w:val="900"/>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393"/>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10</w:t>
            </w:r>
            <w:r>
              <w:rPr>
                <w:rFonts w:hAnsi="宋体"/>
                <w:kern w:val="0"/>
                <w:sz w:val="24"/>
              </w:rPr>
              <w:t xml:space="preserve">　</w:t>
            </w:r>
          </w:p>
        </w:tc>
      </w:tr>
      <w:tr w:rsidR="00123B96">
        <w:trPr>
          <w:trHeight w:val="750"/>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705"/>
        </w:trPr>
        <w:tc>
          <w:tcPr>
            <w:tcW w:w="1225" w:type="dxa"/>
            <w:vMerge w:val="restart"/>
            <w:tcBorders>
              <w:top w:val="nil"/>
              <w:left w:val="single" w:sz="4" w:space="0" w:color="auto"/>
              <w:bottom w:val="single" w:sz="4" w:space="0" w:color="000000"/>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产出</w:t>
            </w:r>
          </w:p>
          <w:p w:rsidR="00123B96" w:rsidRDefault="00072994">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10</w:t>
            </w:r>
            <w:r>
              <w:rPr>
                <w:rFonts w:hAnsi="宋体"/>
                <w:kern w:val="0"/>
                <w:sz w:val="24"/>
              </w:rPr>
              <w:t xml:space="preserve">　</w:t>
            </w:r>
          </w:p>
        </w:tc>
      </w:tr>
      <w:tr w:rsidR="00123B96">
        <w:trPr>
          <w:trHeight w:val="645"/>
        </w:trPr>
        <w:tc>
          <w:tcPr>
            <w:tcW w:w="1225" w:type="dxa"/>
            <w:vMerge/>
            <w:tcBorders>
              <w:top w:val="nil"/>
              <w:left w:val="single" w:sz="4" w:space="0" w:color="auto"/>
              <w:bottom w:val="single" w:sz="4" w:space="0" w:color="000000"/>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完成及时率</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660"/>
        </w:trPr>
        <w:tc>
          <w:tcPr>
            <w:tcW w:w="1225" w:type="dxa"/>
            <w:vMerge/>
            <w:tcBorders>
              <w:top w:val="nil"/>
              <w:left w:val="single" w:sz="4" w:space="0" w:color="auto"/>
              <w:bottom w:val="single" w:sz="4" w:space="0" w:color="000000"/>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585"/>
        </w:trPr>
        <w:tc>
          <w:tcPr>
            <w:tcW w:w="1225" w:type="dxa"/>
            <w:vMerge/>
            <w:tcBorders>
              <w:top w:val="nil"/>
              <w:left w:val="single" w:sz="4" w:space="0" w:color="auto"/>
              <w:bottom w:val="single" w:sz="4" w:space="0" w:color="000000"/>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成本节约率</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645"/>
        </w:trPr>
        <w:tc>
          <w:tcPr>
            <w:tcW w:w="1225" w:type="dxa"/>
            <w:vMerge/>
            <w:tcBorders>
              <w:top w:val="nil"/>
              <w:left w:val="single" w:sz="4" w:space="0" w:color="auto"/>
              <w:bottom w:val="single" w:sz="4" w:space="0" w:color="000000"/>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15</w:t>
            </w:r>
            <w:r>
              <w:rPr>
                <w:rFonts w:hAnsi="宋体"/>
                <w:kern w:val="0"/>
                <w:sz w:val="24"/>
              </w:rPr>
              <w:t xml:space="preserve">　</w:t>
            </w:r>
          </w:p>
        </w:tc>
      </w:tr>
      <w:tr w:rsidR="00123B96">
        <w:trPr>
          <w:trHeight w:val="675"/>
        </w:trPr>
        <w:tc>
          <w:tcPr>
            <w:tcW w:w="1225" w:type="dxa"/>
            <w:vMerge/>
            <w:tcBorders>
              <w:top w:val="nil"/>
              <w:left w:val="single" w:sz="4" w:space="0" w:color="auto"/>
              <w:bottom w:val="single" w:sz="4" w:space="0" w:color="000000"/>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可持续影响</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bookmarkStart w:id="0" w:name="_GoBack"/>
            <w:bookmarkEnd w:id="0"/>
            <w:r>
              <w:rPr>
                <w:rFonts w:hAnsi="宋体" w:hint="eastAsia"/>
                <w:kern w:val="0"/>
                <w:sz w:val="24"/>
              </w:rPr>
              <w:t>10</w:t>
            </w:r>
          </w:p>
        </w:tc>
      </w:tr>
      <w:tr w:rsidR="00123B96">
        <w:trPr>
          <w:trHeight w:val="660"/>
        </w:trPr>
        <w:tc>
          <w:tcPr>
            <w:tcW w:w="34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100</w:t>
            </w:r>
            <w:r>
              <w:rPr>
                <w:rFonts w:hAnsi="宋体"/>
                <w:kern w:val="0"/>
                <w:sz w:val="24"/>
              </w:rPr>
              <w:t xml:space="preserve">　</w:t>
            </w:r>
          </w:p>
        </w:tc>
      </w:tr>
    </w:tbl>
    <w:p w:rsidR="00123B96" w:rsidRDefault="00123B96"/>
    <w:p w:rsidR="00123B96" w:rsidRDefault="00123B96"/>
    <w:sectPr w:rsidR="00123B96" w:rsidSect="00123B96">
      <w:pgSz w:w="16838" w:h="11906" w:orient="landscape"/>
      <w:pgMar w:top="1701" w:right="1440" w:bottom="1474" w:left="1440" w:header="851" w:footer="992" w:gutter="0"/>
      <w:pgNumType w:fmt="numberInDash"/>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4FC" w:rsidRDefault="005F34FC" w:rsidP="00123B96">
      <w:r>
        <w:separator/>
      </w:r>
    </w:p>
  </w:endnote>
  <w:endnote w:type="continuationSeparator" w:id="1">
    <w:p w:rsidR="005F34FC" w:rsidRDefault="005F34FC" w:rsidP="00123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96" w:rsidRDefault="00DE6080">
    <w:pPr>
      <w:pStyle w:val="a3"/>
      <w:framePr w:wrap="around" w:vAnchor="text" w:hAnchor="margin" w:xAlign="center" w:y="1"/>
      <w:rPr>
        <w:rStyle w:val="a5"/>
        <w:rFonts w:ascii="宋体" w:hAnsi="宋体"/>
        <w:sz w:val="24"/>
        <w:szCs w:val="24"/>
      </w:rPr>
    </w:pPr>
    <w:r>
      <w:rPr>
        <w:rStyle w:val="a5"/>
        <w:rFonts w:ascii="宋体" w:hAnsi="宋体"/>
        <w:sz w:val="24"/>
        <w:szCs w:val="24"/>
      </w:rPr>
      <w:fldChar w:fldCharType="begin"/>
    </w:r>
    <w:r w:rsidR="00072994">
      <w:rPr>
        <w:rStyle w:val="a5"/>
        <w:rFonts w:ascii="宋体" w:hAnsi="宋体"/>
        <w:sz w:val="24"/>
        <w:szCs w:val="24"/>
      </w:rPr>
      <w:instrText xml:space="preserve">PAGE  </w:instrText>
    </w:r>
    <w:r>
      <w:rPr>
        <w:rStyle w:val="a5"/>
        <w:rFonts w:ascii="宋体" w:hAnsi="宋体"/>
        <w:sz w:val="24"/>
        <w:szCs w:val="24"/>
      </w:rPr>
      <w:fldChar w:fldCharType="separate"/>
    </w:r>
    <w:r w:rsidR="00490D28">
      <w:rPr>
        <w:rStyle w:val="a5"/>
        <w:rFonts w:ascii="宋体" w:hAnsi="宋体"/>
        <w:noProof/>
        <w:sz w:val="24"/>
        <w:szCs w:val="24"/>
      </w:rPr>
      <w:t>- 2 -</w:t>
    </w:r>
    <w:r>
      <w:rPr>
        <w:rStyle w:val="a5"/>
        <w:rFonts w:ascii="宋体" w:hAnsi="宋体"/>
        <w:sz w:val="24"/>
        <w:szCs w:val="24"/>
      </w:rPr>
      <w:fldChar w:fldCharType="end"/>
    </w:r>
  </w:p>
  <w:p w:rsidR="00123B96" w:rsidRDefault="00123B96">
    <w:pPr>
      <w:pStyle w:val="a3"/>
      <w:ind w:right="360"/>
      <w:rPr>
        <w:rStyle w:val="a5"/>
        <w:rFonts w:ascii="宋体"/>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96" w:rsidRDefault="00DE6080">
    <w:pPr>
      <w:pStyle w:val="a3"/>
      <w:jc w:val="center"/>
      <w:rPr>
        <w:rFonts w:ascii="宋体" w:hAnsi="宋体"/>
        <w:sz w:val="24"/>
        <w:szCs w:val="24"/>
      </w:rPr>
    </w:pPr>
    <w:r>
      <w:rPr>
        <w:rStyle w:val="a5"/>
        <w:rFonts w:ascii="宋体" w:hAnsi="宋体"/>
        <w:sz w:val="24"/>
        <w:szCs w:val="24"/>
      </w:rPr>
      <w:fldChar w:fldCharType="begin"/>
    </w:r>
    <w:r w:rsidR="00072994">
      <w:rPr>
        <w:rStyle w:val="a5"/>
        <w:rFonts w:ascii="宋体" w:hAnsi="宋体"/>
        <w:sz w:val="24"/>
        <w:szCs w:val="24"/>
      </w:rPr>
      <w:instrText xml:space="preserve"> PAGE </w:instrText>
    </w:r>
    <w:r>
      <w:rPr>
        <w:rStyle w:val="a5"/>
        <w:rFonts w:ascii="宋体" w:hAnsi="宋体"/>
        <w:sz w:val="24"/>
        <w:szCs w:val="24"/>
      </w:rPr>
      <w:fldChar w:fldCharType="separate"/>
    </w:r>
    <w:r w:rsidR="00490D28">
      <w:rPr>
        <w:rStyle w:val="a5"/>
        <w:rFonts w:ascii="宋体" w:hAnsi="宋体"/>
        <w:noProof/>
        <w:sz w:val="24"/>
        <w:szCs w:val="24"/>
      </w:rPr>
      <w:t>- 1 -</w:t>
    </w:r>
    <w:r>
      <w:rPr>
        <w:rStyle w:val="a5"/>
        <w:rFonts w:ascii="宋体" w:hAnsi="宋体"/>
        <w:sz w:val="24"/>
        <w:szCs w:val="24"/>
      </w:rPr>
      <w:fldChar w:fldCharType="end"/>
    </w:r>
  </w:p>
  <w:p w:rsidR="00123B96" w:rsidRDefault="00123B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4FC" w:rsidRDefault="005F34FC" w:rsidP="00123B96">
      <w:r>
        <w:separator/>
      </w:r>
    </w:p>
  </w:footnote>
  <w:footnote w:type="continuationSeparator" w:id="1">
    <w:p w:rsidR="005F34FC" w:rsidRDefault="005F34FC" w:rsidP="00123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96" w:rsidRDefault="00123B9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A1EF4"/>
    <w:multiLevelType w:val="singleLevel"/>
    <w:tmpl w:val="5D7A1EF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F8785F"/>
    <w:rsid w:val="00072994"/>
    <w:rsid w:val="00123B96"/>
    <w:rsid w:val="00490D28"/>
    <w:rsid w:val="004950D9"/>
    <w:rsid w:val="004978F9"/>
    <w:rsid w:val="004D35CE"/>
    <w:rsid w:val="00533905"/>
    <w:rsid w:val="005B4BC4"/>
    <w:rsid w:val="005F34FC"/>
    <w:rsid w:val="00801156"/>
    <w:rsid w:val="00A26795"/>
    <w:rsid w:val="00D32013"/>
    <w:rsid w:val="00DE6080"/>
    <w:rsid w:val="43E34812"/>
    <w:rsid w:val="5AF8785F"/>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23B96"/>
    <w:pPr>
      <w:tabs>
        <w:tab w:val="center" w:pos="4153"/>
        <w:tab w:val="right" w:pos="8306"/>
      </w:tabs>
      <w:snapToGrid w:val="0"/>
      <w:jc w:val="left"/>
    </w:pPr>
    <w:rPr>
      <w:sz w:val="18"/>
      <w:szCs w:val="18"/>
    </w:rPr>
  </w:style>
  <w:style w:type="paragraph" w:styleId="a4">
    <w:name w:val="header"/>
    <w:basedOn w:val="a"/>
    <w:rsid w:val="00123B96"/>
    <w:pPr>
      <w:pBdr>
        <w:bottom w:val="single" w:sz="6" w:space="1" w:color="auto"/>
      </w:pBdr>
      <w:tabs>
        <w:tab w:val="center" w:pos="4153"/>
        <w:tab w:val="right" w:pos="8307"/>
      </w:tabs>
      <w:snapToGrid w:val="0"/>
      <w:jc w:val="center"/>
    </w:pPr>
    <w:rPr>
      <w:sz w:val="18"/>
    </w:rPr>
  </w:style>
  <w:style w:type="paragraph" w:customStyle="1" w:styleId="Style3">
    <w:name w:val="_Style 3"/>
    <w:basedOn w:val="a"/>
    <w:rsid w:val="00123B96"/>
    <w:pPr>
      <w:widowControl/>
      <w:jc w:val="left"/>
    </w:pPr>
    <w:rPr>
      <w:rFonts w:ascii="Verdana" w:eastAsia="仿宋_GB2312" w:hAnsi="Verdana"/>
      <w:kern w:val="0"/>
      <w:sz w:val="28"/>
      <w:szCs w:val="20"/>
      <w:lang w:eastAsia="en-US"/>
    </w:rPr>
  </w:style>
  <w:style w:type="character" w:styleId="a5">
    <w:name w:val="page number"/>
    <w:basedOn w:val="a0"/>
    <w:rsid w:val="00123B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55</TotalTime>
  <Pages>5</Pages>
  <Words>468</Words>
  <Characters>2668</Characters>
  <Application>Microsoft Office Word</Application>
  <DocSecurity>0</DocSecurity>
  <Lines>22</Lines>
  <Paragraphs>6</Paragraphs>
  <ScaleCrop>false</ScaleCrop>
  <Company>China</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sin1423710463</dc:creator>
  <cp:lastModifiedBy>User</cp:lastModifiedBy>
  <cp:revision>5</cp:revision>
  <dcterms:created xsi:type="dcterms:W3CDTF">2018-08-29T07:37:00Z</dcterms:created>
  <dcterms:modified xsi:type="dcterms:W3CDTF">2018-09-14T08:08:00Z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