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B5" w:rsidRPr="00255E10" w:rsidRDefault="004D05B5" w:rsidP="004D05B5">
      <w:pPr>
        <w:widowControl/>
        <w:spacing w:line="240" w:lineRule="auto"/>
        <w:ind w:firstLineChars="0" w:firstLine="0"/>
        <w:jc w:val="center"/>
        <w:rPr>
          <w:rFonts w:ascii="方正小标宋简体" w:eastAsia="方正小标宋简体"/>
          <w:bCs/>
          <w:kern w:val="0"/>
          <w:sz w:val="72"/>
          <w:szCs w:val="72"/>
        </w:rPr>
      </w:pPr>
      <w:r>
        <w:rPr>
          <w:rFonts w:ascii="方正小标宋简体" w:eastAsia="方正小标宋简体" w:hint="eastAsia"/>
          <w:bCs/>
          <w:kern w:val="0"/>
          <w:sz w:val="56"/>
          <w:szCs w:val="72"/>
        </w:rPr>
        <w:t>炎陵县人力资源和社会保障局</w:t>
      </w:r>
      <w:r w:rsidRPr="00867046">
        <w:rPr>
          <w:rFonts w:ascii="方正小标宋简体" w:eastAsia="方正小标宋简体" w:hint="eastAsia"/>
          <w:bCs/>
          <w:kern w:val="0"/>
          <w:sz w:val="56"/>
          <w:szCs w:val="72"/>
        </w:rPr>
        <w:t>2018年度部门决算</w:t>
      </w:r>
    </w:p>
    <w:p w:rsidR="004D05B5" w:rsidRDefault="004D05B5" w:rsidP="004D05B5">
      <w:pPr>
        <w:widowControl/>
        <w:spacing w:line="240" w:lineRule="auto"/>
        <w:ind w:firstLineChars="0" w:firstLine="0"/>
        <w:jc w:val="center"/>
        <w:rPr>
          <w:rFonts w:eastAsia="黑体"/>
          <w:bCs/>
          <w:kern w:val="0"/>
          <w:szCs w:val="32"/>
        </w:rPr>
      </w:pPr>
    </w:p>
    <w:p w:rsidR="004D05B5" w:rsidRPr="004C6008" w:rsidRDefault="004D05B5" w:rsidP="004D05B5">
      <w:pPr>
        <w:widowControl/>
        <w:spacing w:line="240" w:lineRule="auto"/>
        <w:ind w:firstLineChars="0" w:firstLine="0"/>
        <w:jc w:val="center"/>
        <w:rPr>
          <w:rFonts w:eastAsia="方正小标宋_GBK"/>
          <w:bCs/>
          <w:kern w:val="0"/>
          <w:sz w:val="44"/>
          <w:szCs w:val="44"/>
        </w:rPr>
      </w:pPr>
      <w:r w:rsidRPr="00867046">
        <w:rPr>
          <w:rFonts w:eastAsia="黑体" w:hint="eastAsia"/>
          <w:bCs/>
          <w:kern w:val="0"/>
          <w:szCs w:val="32"/>
        </w:rPr>
        <w:t>目</w:t>
      </w:r>
      <w:r w:rsidRPr="00867046">
        <w:rPr>
          <w:rFonts w:eastAsia="黑体" w:hint="eastAsia"/>
          <w:bCs/>
          <w:kern w:val="0"/>
          <w:szCs w:val="32"/>
        </w:rPr>
        <w:t xml:space="preserve">  </w:t>
      </w:r>
      <w:r w:rsidRPr="00867046">
        <w:rPr>
          <w:rFonts w:eastAsia="黑体" w:hint="eastAsia"/>
          <w:bCs/>
          <w:kern w:val="0"/>
          <w:szCs w:val="32"/>
        </w:rPr>
        <w:t>录</w:t>
      </w:r>
    </w:p>
    <w:p w:rsidR="004D05B5" w:rsidRPr="004C6008" w:rsidRDefault="004D05B5" w:rsidP="004D05B5">
      <w:pPr>
        <w:widowControl/>
        <w:ind w:firstLineChars="0" w:firstLine="0"/>
        <w:rPr>
          <w:rFonts w:eastAsia="黑体"/>
          <w:bCs/>
          <w:kern w:val="0"/>
          <w:szCs w:val="32"/>
        </w:rPr>
      </w:pPr>
      <w:r w:rsidRPr="004C6008">
        <w:rPr>
          <w:rFonts w:eastAsia="黑体" w:hint="eastAsia"/>
          <w:bCs/>
          <w:kern w:val="0"/>
          <w:szCs w:val="32"/>
        </w:rPr>
        <w:t>第一部分</w:t>
      </w:r>
      <w:r w:rsidRPr="004C6008">
        <w:rPr>
          <w:rFonts w:eastAsia="黑体"/>
          <w:bCs/>
          <w:kern w:val="0"/>
          <w:szCs w:val="32"/>
        </w:rPr>
        <w:t xml:space="preserve">  </w:t>
      </w:r>
      <w:r>
        <w:rPr>
          <w:rFonts w:eastAsia="黑体" w:hint="eastAsia"/>
          <w:bCs/>
          <w:kern w:val="0"/>
          <w:szCs w:val="32"/>
        </w:rPr>
        <w:t>炎陵县人力资源和社会保障局</w:t>
      </w:r>
      <w:r w:rsidRPr="004C6008">
        <w:rPr>
          <w:rFonts w:eastAsia="黑体" w:hint="eastAsia"/>
          <w:bCs/>
          <w:kern w:val="0"/>
          <w:szCs w:val="32"/>
        </w:rPr>
        <w:t>概况</w:t>
      </w:r>
    </w:p>
    <w:p w:rsidR="004D05B5" w:rsidRPr="004C6008" w:rsidRDefault="004D05B5" w:rsidP="004D05B5">
      <w:pPr>
        <w:widowControl/>
        <w:ind w:firstLineChars="0" w:firstLine="0"/>
        <w:rPr>
          <w:bCs/>
          <w:kern w:val="0"/>
          <w:szCs w:val="32"/>
        </w:rPr>
      </w:pPr>
      <w:r w:rsidRPr="004C6008">
        <w:rPr>
          <w:rFonts w:hint="eastAsia"/>
          <w:bCs/>
          <w:kern w:val="0"/>
          <w:szCs w:val="32"/>
        </w:rPr>
        <w:t>一、部门职责</w:t>
      </w:r>
    </w:p>
    <w:p w:rsidR="004D05B5" w:rsidRPr="004C6008" w:rsidRDefault="004D05B5" w:rsidP="004D05B5">
      <w:pPr>
        <w:widowControl/>
        <w:ind w:firstLineChars="0" w:firstLine="0"/>
        <w:rPr>
          <w:bCs/>
          <w:kern w:val="0"/>
          <w:szCs w:val="32"/>
        </w:rPr>
      </w:pPr>
      <w:r w:rsidRPr="004C6008">
        <w:rPr>
          <w:rFonts w:hint="eastAsia"/>
          <w:bCs/>
          <w:kern w:val="0"/>
          <w:szCs w:val="32"/>
        </w:rPr>
        <w:t>二、机构设置</w:t>
      </w:r>
    </w:p>
    <w:p w:rsidR="004D05B5" w:rsidRPr="004C6008" w:rsidRDefault="004D05B5" w:rsidP="004D05B5">
      <w:pPr>
        <w:widowControl/>
        <w:ind w:firstLineChars="0" w:firstLine="0"/>
        <w:rPr>
          <w:rFonts w:eastAsia="黑体"/>
          <w:bCs/>
          <w:kern w:val="0"/>
          <w:szCs w:val="32"/>
        </w:rPr>
      </w:pPr>
      <w:r w:rsidRPr="004C6008">
        <w:rPr>
          <w:rFonts w:eastAsia="黑体" w:hint="eastAsia"/>
          <w:bCs/>
          <w:kern w:val="0"/>
          <w:szCs w:val="32"/>
        </w:rPr>
        <w:t>第二部分</w:t>
      </w:r>
      <w:r w:rsidRPr="004C6008">
        <w:rPr>
          <w:rFonts w:eastAsia="黑体"/>
          <w:bCs/>
          <w:kern w:val="0"/>
          <w:szCs w:val="32"/>
        </w:rPr>
        <w:t xml:space="preserve">  </w:t>
      </w:r>
      <w:r>
        <w:rPr>
          <w:rFonts w:eastAsia="黑体" w:hint="eastAsia"/>
          <w:bCs/>
          <w:kern w:val="0"/>
          <w:szCs w:val="32"/>
        </w:rPr>
        <w:t>炎陵县人力资源和社会保障局</w:t>
      </w:r>
      <w:r w:rsidRPr="004C6008">
        <w:rPr>
          <w:rFonts w:eastAsia="黑体"/>
          <w:bCs/>
          <w:kern w:val="0"/>
          <w:szCs w:val="32"/>
        </w:rPr>
        <w:t>201</w:t>
      </w:r>
      <w:r>
        <w:rPr>
          <w:rFonts w:eastAsia="黑体"/>
          <w:bCs/>
          <w:kern w:val="0"/>
          <w:szCs w:val="32"/>
        </w:rPr>
        <w:t>8</w:t>
      </w:r>
      <w:r w:rsidRPr="004C6008">
        <w:rPr>
          <w:rFonts w:eastAsia="黑体" w:hint="eastAsia"/>
          <w:bCs/>
          <w:kern w:val="0"/>
          <w:szCs w:val="32"/>
        </w:rPr>
        <w:t>年度部门决算表</w:t>
      </w:r>
    </w:p>
    <w:p w:rsidR="004D05B5" w:rsidRPr="004C6008" w:rsidRDefault="004D05B5" w:rsidP="004D05B5">
      <w:pPr>
        <w:widowControl/>
        <w:ind w:firstLineChars="0" w:firstLine="0"/>
        <w:rPr>
          <w:bCs/>
          <w:kern w:val="0"/>
          <w:szCs w:val="32"/>
        </w:rPr>
      </w:pPr>
      <w:r w:rsidRPr="004C6008">
        <w:rPr>
          <w:rFonts w:hint="eastAsia"/>
          <w:bCs/>
          <w:kern w:val="0"/>
          <w:szCs w:val="32"/>
        </w:rPr>
        <w:t>一、收入支出决算总表</w:t>
      </w:r>
    </w:p>
    <w:p w:rsidR="004D05B5" w:rsidRPr="004C6008" w:rsidRDefault="004D05B5" w:rsidP="004D05B5">
      <w:pPr>
        <w:widowControl/>
        <w:ind w:firstLineChars="0" w:firstLine="0"/>
        <w:rPr>
          <w:bCs/>
          <w:kern w:val="0"/>
          <w:szCs w:val="32"/>
        </w:rPr>
      </w:pPr>
      <w:r w:rsidRPr="004C6008">
        <w:rPr>
          <w:rFonts w:hint="eastAsia"/>
          <w:bCs/>
          <w:kern w:val="0"/>
          <w:szCs w:val="32"/>
        </w:rPr>
        <w:t>二、收入决算表</w:t>
      </w:r>
    </w:p>
    <w:p w:rsidR="004D05B5" w:rsidRPr="004C6008" w:rsidRDefault="004D05B5" w:rsidP="004D05B5">
      <w:pPr>
        <w:widowControl/>
        <w:ind w:firstLineChars="0" w:firstLine="0"/>
        <w:rPr>
          <w:bCs/>
          <w:kern w:val="0"/>
          <w:szCs w:val="32"/>
        </w:rPr>
      </w:pPr>
      <w:r w:rsidRPr="004C6008">
        <w:rPr>
          <w:rFonts w:hint="eastAsia"/>
          <w:bCs/>
          <w:kern w:val="0"/>
          <w:szCs w:val="32"/>
        </w:rPr>
        <w:t>三、支出决算表</w:t>
      </w:r>
    </w:p>
    <w:p w:rsidR="004D05B5" w:rsidRPr="004C6008" w:rsidRDefault="004D05B5" w:rsidP="004D05B5">
      <w:pPr>
        <w:widowControl/>
        <w:ind w:firstLineChars="0" w:firstLine="0"/>
        <w:rPr>
          <w:bCs/>
          <w:kern w:val="0"/>
          <w:szCs w:val="32"/>
        </w:rPr>
      </w:pPr>
      <w:r w:rsidRPr="004C6008">
        <w:rPr>
          <w:rFonts w:hint="eastAsia"/>
          <w:bCs/>
          <w:kern w:val="0"/>
          <w:szCs w:val="32"/>
        </w:rPr>
        <w:t>四、财政拨款收入支出决算总表</w:t>
      </w:r>
    </w:p>
    <w:p w:rsidR="004D05B5" w:rsidRPr="004C6008" w:rsidRDefault="004D05B5" w:rsidP="004D05B5">
      <w:pPr>
        <w:widowControl/>
        <w:ind w:firstLineChars="0" w:firstLine="0"/>
        <w:rPr>
          <w:bCs/>
          <w:kern w:val="0"/>
          <w:szCs w:val="32"/>
        </w:rPr>
      </w:pPr>
      <w:r w:rsidRPr="004C6008">
        <w:rPr>
          <w:rFonts w:hint="eastAsia"/>
          <w:bCs/>
          <w:kern w:val="0"/>
          <w:szCs w:val="32"/>
        </w:rPr>
        <w:t>五、一般公共预算财政拨款支出决算表</w:t>
      </w:r>
    </w:p>
    <w:p w:rsidR="004D05B5" w:rsidRPr="004C6008" w:rsidRDefault="004D05B5" w:rsidP="004D05B5">
      <w:pPr>
        <w:widowControl/>
        <w:ind w:firstLineChars="0" w:firstLine="0"/>
        <w:rPr>
          <w:bCs/>
          <w:kern w:val="0"/>
          <w:szCs w:val="32"/>
        </w:rPr>
      </w:pPr>
      <w:r w:rsidRPr="004C6008">
        <w:rPr>
          <w:rFonts w:hint="eastAsia"/>
          <w:bCs/>
          <w:kern w:val="0"/>
          <w:szCs w:val="32"/>
        </w:rPr>
        <w:t>六、一般公共预算财政拨款基本支出决算表</w:t>
      </w:r>
    </w:p>
    <w:p w:rsidR="004D05B5" w:rsidRPr="004C6008" w:rsidRDefault="004D05B5" w:rsidP="004D05B5">
      <w:pPr>
        <w:widowControl/>
        <w:ind w:firstLineChars="0" w:firstLine="0"/>
        <w:rPr>
          <w:bCs/>
          <w:kern w:val="0"/>
          <w:szCs w:val="32"/>
        </w:rPr>
      </w:pPr>
      <w:r w:rsidRPr="004C6008">
        <w:rPr>
          <w:rFonts w:hint="eastAsia"/>
          <w:bCs/>
          <w:kern w:val="0"/>
          <w:szCs w:val="32"/>
        </w:rPr>
        <w:t>七、一般公共预算财政拨款</w:t>
      </w:r>
      <w:r w:rsidRPr="004C6008">
        <w:rPr>
          <w:bCs/>
          <w:kern w:val="0"/>
          <w:szCs w:val="32"/>
        </w:rPr>
        <w:t>“</w:t>
      </w:r>
      <w:r w:rsidRPr="004C6008">
        <w:rPr>
          <w:rFonts w:hint="eastAsia"/>
          <w:bCs/>
          <w:kern w:val="0"/>
          <w:szCs w:val="32"/>
        </w:rPr>
        <w:t>三公</w:t>
      </w:r>
      <w:r w:rsidRPr="004C6008">
        <w:rPr>
          <w:bCs/>
          <w:kern w:val="0"/>
          <w:szCs w:val="32"/>
        </w:rPr>
        <w:t>”</w:t>
      </w:r>
      <w:r w:rsidRPr="004C6008">
        <w:rPr>
          <w:rFonts w:hint="eastAsia"/>
          <w:bCs/>
          <w:kern w:val="0"/>
          <w:szCs w:val="32"/>
        </w:rPr>
        <w:t>经费支出决算表</w:t>
      </w:r>
    </w:p>
    <w:p w:rsidR="004D05B5" w:rsidRPr="004C6008" w:rsidRDefault="004D05B5" w:rsidP="004D05B5">
      <w:pPr>
        <w:widowControl/>
        <w:ind w:firstLineChars="0" w:firstLine="0"/>
        <w:rPr>
          <w:bCs/>
          <w:kern w:val="0"/>
          <w:szCs w:val="32"/>
        </w:rPr>
      </w:pPr>
      <w:r w:rsidRPr="004C6008">
        <w:rPr>
          <w:rFonts w:hint="eastAsia"/>
          <w:bCs/>
          <w:kern w:val="0"/>
          <w:szCs w:val="32"/>
        </w:rPr>
        <w:t>八、政府性基金预算财政拨款收入支出决算表</w:t>
      </w:r>
    </w:p>
    <w:p w:rsidR="004D05B5" w:rsidRPr="004C6008" w:rsidRDefault="004D05B5" w:rsidP="004D05B5">
      <w:pPr>
        <w:widowControl/>
        <w:ind w:firstLineChars="0" w:firstLine="0"/>
        <w:rPr>
          <w:rFonts w:eastAsia="黑体"/>
          <w:bCs/>
          <w:kern w:val="0"/>
          <w:szCs w:val="32"/>
        </w:rPr>
      </w:pPr>
      <w:r w:rsidRPr="004C6008">
        <w:rPr>
          <w:rFonts w:eastAsia="黑体" w:hint="eastAsia"/>
          <w:bCs/>
          <w:kern w:val="0"/>
          <w:szCs w:val="32"/>
        </w:rPr>
        <w:t>第三部分</w:t>
      </w:r>
      <w:r w:rsidRPr="004C6008">
        <w:rPr>
          <w:rFonts w:eastAsia="黑体"/>
          <w:bCs/>
          <w:kern w:val="0"/>
          <w:szCs w:val="32"/>
        </w:rPr>
        <w:t xml:space="preserve">  </w:t>
      </w:r>
      <w:r>
        <w:rPr>
          <w:rFonts w:eastAsia="黑体" w:hint="eastAsia"/>
          <w:bCs/>
          <w:kern w:val="0"/>
          <w:szCs w:val="32"/>
        </w:rPr>
        <w:t>炎陵县人力资源和社会保障局</w:t>
      </w:r>
      <w:r w:rsidRPr="004C6008">
        <w:rPr>
          <w:rFonts w:eastAsia="黑体"/>
          <w:bCs/>
          <w:kern w:val="0"/>
          <w:szCs w:val="32"/>
        </w:rPr>
        <w:t>201</w:t>
      </w:r>
      <w:r>
        <w:rPr>
          <w:rFonts w:eastAsia="黑体"/>
          <w:bCs/>
          <w:kern w:val="0"/>
          <w:szCs w:val="32"/>
        </w:rPr>
        <w:t>8</w:t>
      </w:r>
      <w:r w:rsidRPr="004C6008">
        <w:rPr>
          <w:rFonts w:eastAsia="黑体" w:hint="eastAsia"/>
          <w:bCs/>
          <w:kern w:val="0"/>
          <w:szCs w:val="32"/>
        </w:rPr>
        <w:t>年度部门决算情况说明</w:t>
      </w:r>
    </w:p>
    <w:p w:rsidR="004D05B5" w:rsidRPr="004C6008" w:rsidRDefault="004D05B5" w:rsidP="004D05B5">
      <w:pPr>
        <w:widowControl/>
        <w:ind w:firstLineChars="0" w:firstLine="0"/>
        <w:rPr>
          <w:bCs/>
          <w:kern w:val="0"/>
          <w:szCs w:val="32"/>
        </w:rPr>
      </w:pPr>
      <w:r w:rsidRPr="004C6008">
        <w:rPr>
          <w:rFonts w:hint="eastAsia"/>
          <w:bCs/>
          <w:kern w:val="0"/>
          <w:szCs w:val="32"/>
        </w:rPr>
        <w:t>一、收入支出决算总体情况说明</w:t>
      </w:r>
    </w:p>
    <w:p w:rsidR="004D05B5" w:rsidRPr="004C6008" w:rsidRDefault="004D05B5" w:rsidP="004D05B5">
      <w:pPr>
        <w:widowControl/>
        <w:ind w:firstLineChars="0" w:firstLine="0"/>
        <w:rPr>
          <w:bCs/>
          <w:kern w:val="0"/>
          <w:szCs w:val="32"/>
        </w:rPr>
      </w:pPr>
      <w:r w:rsidRPr="004C6008">
        <w:rPr>
          <w:rFonts w:hint="eastAsia"/>
          <w:bCs/>
          <w:kern w:val="0"/>
          <w:szCs w:val="32"/>
        </w:rPr>
        <w:lastRenderedPageBreak/>
        <w:t>二、收入决算情况说明</w:t>
      </w:r>
    </w:p>
    <w:p w:rsidR="004D05B5" w:rsidRPr="004C6008" w:rsidRDefault="004D05B5" w:rsidP="004D05B5">
      <w:pPr>
        <w:widowControl/>
        <w:ind w:firstLineChars="0" w:firstLine="0"/>
        <w:rPr>
          <w:bCs/>
          <w:kern w:val="0"/>
          <w:szCs w:val="32"/>
        </w:rPr>
      </w:pPr>
      <w:r w:rsidRPr="004C6008">
        <w:rPr>
          <w:rFonts w:hint="eastAsia"/>
          <w:bCs/>
          <w:kern w:val="0"/>
          <w:szCs w:val="32"/>
        </w:rPr>
        <w:t>三、支出决算情况说明</w:t>
      </w:r>
    </w:p>
    <w:p w:rsidR="004D05B5" w:rsidRPr="004C6008" w:rsidRDefault="004D05B5" w:rsidP="004D05B5">
      <w:pPr>
        <w:widowControl/>
        <w:ind w:firstLineChars="0" w:firstLine="0"/>
        <w:rPr>
          <w:bCs/>
          <w:kern w:val="0"/>
          <w:szCs w:val="32"/>
        </w:rPr>
      </w:pPr>
      <w:r w:rsidRPr="004C6008">
        <w:rPr>
          <w:rFonts w:hint="eastAsia"/>
          <w:bCs/>
          <w:kern w:val="0"/>
          <w:szCs w:val="32"/>
        </w:rPr>
        <w:t>四、财政拨款收入支出决算总体情况说明</w:t>
      </w:r>
    </w:p>
    <w:p w:rsidR="004D05B5" w:rsidRPr="004C6008" w:rsidRDefault="004D05B5" w:rsidP="004D05B5">
      <w:pPr>
        <w:widowControl/>
        <w:ind w:firstLineChars="0" w:firstLine="0"/>
        <w:rPr>
          <w:bCs/>
          <w:kern w:val="0"/>
          <w:szCs w:val="32"/>
        </w:rPr>
      </w:pPr>
      <w:r w:rsidRPr="004C6008">
        <w:rPr>
          <w:rFonts w:hint="eastAsia"/>
          <w:bCs/>
          <w:kern w:val="0"/>
          <w:szCs w:val="32"/>
        </w:rPr>
        <w:t>五、一般公共预算财政拨款支出决算情况说明</w:t>
      </w:r>
    </w:p>
    <w:p w:rsidR="004D05B5" w:rsidRPr="004C6008" w:rsidRDefault="004D05B5" w:rsidP="004D05B5">
      <w:pPr>
        <w:widowControl/>
        <w:ind w:firstLineChars="0" w:firstLine="0"/>
        <w:rPr>
          <w:bCs/>
          <w:kern w:val="0"/>
          <w:szCs w:val="32"/>
        </w:rPr>
      </w:pPr>
      <w:r w:rsidRPr="004C6008">
        <w:rPr>
          <w:rFonts w:hint="eastAsia"/>
          <w:bCs/>
          <w:kern w:val="0"/>
          <w:szCs w:val="32"/>
        </w:rPr>
        <w:t>六、一般公共预算财政拨款基本支出决算情况说明</w:t>
      </w:r>
    </w:p>
    <w:p w:rsidR="004D05B5" w:rsidRPr="004C6008" w:rsidRDefault="004D05B5" w:rsidP="004D05B5">
      <w:pPr>
        <w:widowControl/>
        <w:ind w:firstLineChars="0" w:firstLine="0"/>
        <w:rPr>
          <w:bCs/>
          <w:kern w:val="0"/>
          <w:szCs w:val="32"/>
        </w:rPr>
      </w:pPr>
      <w:r w:rsidRPr="004C6008">
        <w:rPr>
          <w:rFonts w:hint="eastAsia"/>
          <w:bCs/>
          <w:kern w:val="0"/>
          <w:szCs w:val="32"/>
        </w:rPr>
        <w:t>七、一般公共预算财政拨款</w:t>
      </w:r>
      <w:r w:rsidRPr="004C6008">
        <w:rPr>
          <w:bCs/>
          <w:kern w:val="0"/>
          <w:szCs w:val="32"/>
        </w:rPr>
        <w:t>“</w:t>
      </w:r>
      <w:r w:rsidRPr="004C6008">
        <w:rPr>
          <w:rFonts w:hint="eastAsia"/>
          <w:bCs/>
          <w:kern w:val="0"/>
          <w:szCs w:val="32"/>
        </w:rPr>
        <w:t>三公</w:t>
      </w:r>
      <w:r w:rsidRPr="004C6008">
        <w:rPr>
          <w:bCs/>
          <w:kern w:val="0"/>
          <w:szCs w:val="32"/>
        </w:rPr>
        <w:t>”</w:t>
      </w:r>
      <w:r w:rsidRPr="004C6008">
        <w:rPr>
          <w:rFonts w:hint="eastAsia"/>
          <w:bCs/>
          <w:kern w:val="0"/>
          <w:szCs w:val="32"/>
        </w:rPr>
        <w:t>经费支出决算情况说明</w:t>
      </w:r>
    </w:p>
    <w:p w:rsidR="004D05B5" w:rsidRDefault="004D05B5" w:rsidP="004D05B5">
      <w:pPr>
        <w:widowControl/>
        <w:ind w:firstLineChars="0" w:firstLine="0"/>
        <w:rPr>
          <w:bCs/>
          <w:kern w:val="0"/>
          <w:szCs w:val="32"/>
        </w:rPr>
      </w:pPr>
      <w:r w:rsidRPr="004C6008">
        <w:rPr>
          <w:rFonts w:hint="eastAsia"/>
          <w:bCs/>
          <w:kern w:val="0"/>
          <w:szCs w:val="32"/>
        </w:rPr>
        <w:t>八、</w:t>
      </w:r>
      <w:r>
        <w:rPr>
          <w:rFonts w:hint="eastAsia"/>
          <w:bCs/>
          <w:kern w:val="0"/>
          <w:szCs w:val="32"/>
        </w:rPr>
        <w:t>政府性基金预算收入支出决算情况说明</w:t>
      </w:r>
    </w:p>
    <w:p w:rsidR="004D05B5" w:rsidRPr="004C6008" w:rsidRDefault="004D05B5" w:rsidP="004D05B5">
      <w:pPr>
        <w:widowControl/>
        <w:ind w:firstLineChars="0" w:firstLine="0"/>
        <w:rPr>
          <w:bCs/>
          <w:kern w:val="0"/>
          <w:szCs w:val="32"/>
        </w:rPr>
      </w:pPr>
      <w:r>
        <w:rPr>
          <w:rFonts w:hint="eastAsia"/>
          <w:bCs/>
          <w:kern w:val="0"/>
          <w:szCs w:val="32"/>
        </w:rPr>
        <w:t>九、</w:t>
      </w:r>
      <w:r w:rsidRPr="004C6008">
        <w:rPr>
          <w:rFonts w:hint="eastAsia"/>
          <w:bCs/>
          <w:kern w:val="0"/>
          <w:szCs w:val="32"/>
        </w:rPr>
        <w:t>预算绩效情况说明</w:t>
      </w:r>
    </w:p>
    <w:p w:rsidR="004D05B5" w:rsidRPr="004C6008" w:rsidRDefault="004D05B5" w:rsidP="004D05B5">
      <w:pPr>
        <w:widowControl/>
        <w:ind w:firstLineChars="0" w:firstLine="0"/>
        <w:rPr>
          <w:bCs/>
          <w:kern w:val="0"/>
          <w:szCs w:val="32"/>
        </w:rPr>
      </w:pPr>
      <w:r>
        <w:rPr>
          <w:rFonts w:hint="eastAsia"/>
          <w:bCs/>
          <w:kern w:val="0"/>
          <w:szCs w:val="32"/>
        </w:rPr>
        <w:t>十</w:t>
      </w:r>
      <w:r w:rsidRPr="004C6008">
        <w:rPr>
          <w:rFonts w:hint="eastAsia"/>
          <w:bCs/>
          <w:kern w:val="0"/>
          <w:szCs w:val="32"/>
        </w:rPr>
        <w:t>、其他重要事项情况说明</w:t>
      </w:r>
    </w:p>
    <w:p w:rsidR="004D05B5" w:rsidRPr="004C6008" w:rsidRDefault="004D05B5" w:rsidP="004D05B5">
      <w:pPr>
        <w:widowControl/>
        <w:ind w:firstLineChars="0" w:firstLine="0"/>
        <w:rPr>
          <w:rFonts w:eastAsia="黑体"/>
          <w:bCs/>
          <w:kern w:val="0"/>
          <w:szCs w:val="32"/>
        </w:rPr>
      </w:pPr>
      <w:r w:rsidRPr="004C6008">
        <w:rPr>
          <w:rFonts w:eastAsia="黑体" w:hint="eastAsia"/>
          <w:bCs/>
          <w:kern w:val="0"/>
          <w:szCs w:val="32"/>
        </w:rPr>
        <w:t>第四部分</w:t>
      </w:r>
      <w:r w:rsidRPr="004C6008">
        <w:rPr>
          <w:rFonts w:eastAsia="黑体"/>
          <w:bCs/>
          <w:kern w:val="0"/>
          <w:szCs w:val="32"/>
        </w:rPr>
        <w:t xml:space="preserve">  </w:t>
      </w:r>
      <w:r>
        <w:rPr>
          <w:rFonts w:eastAsia="黑体" w:hint="eastAsia"/>
          <w:bCs/>
          <w:kern w:val="0"/>
          <w:szCs w:val="32"/>
        </w:rPr>
        <w:t>名词</w:t>
      </w:r>
      <w:bookmarkStart w:id="0" w:name="_GoBack"/>
      <w:bookmarkEnd w:id="0"/>
      <w:r w:rsidRPr="004C6008">
        <w:rPr>
          <w:rFonts w:eastAsia="黑体" w:hint="eastAsia"/>
          <w:bCs/>
          <w:kern w:val="0"/>
          <w:szCs w:val="32"/>
        </w:rPr>
        <w:t>解释</w:t>
      </w: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B91D12" w:rsidRDefault="00B91D12" w:rsidP="003637A8">
      <w:pPr>
        <w:widowControl/>
        <w:spacing w:line="240" w:lineRule="auto"/>
        <w:ind w:firstLineChars="0" w:firstLine="0"/>
        <w:jc w:val="center"/>
        <w:rPr>
          <w:rFonts w:eastAsia="黑体"/>
          <w:bCs/>
          <w:kern w:val="0"/>
          <w:szCs w:val="32"/>
        </w:rPr>
      </w:pPr>
    </w:p>
    <w:p w:rsidR="00432AD2" w:rsidRDefault="00432AD2" w:rsidP="00432AD2">
      <w:pPr>
        <w:widowControl/>
        <w:ind w:firstLine="643"/>
        <w:jc w:val="center"/>
        <w:rPr>
          <w:rFonts w:ascii="黑体" w:eastAsia="黑体"/>
          <w:b/>
          <w:bCs/>
          <w:kern w:val="0"/>
          <w:szCs w:val="32"/>
        </w:rPr>
      </w:pPr>
      <w:r>
        <w:rPr>
          <w:rFonts w:ascii="黑体" w:eastAsia="黑体" w:hint="eastAsia"/>
          <w:b/>
          <w:bCs/>
          <w:kern w:val="0"/>
          <w:szCs w:val="32"/>
        </w:rPr>
        <w:lastRenderedPageBreak/>
        <w:t>第一部分  炎陵县人力资源和社会保障局单位概况</w:t>
      </w:r>
    </w:p>
    <w:p w:rsidR="00432AD2" w:rsidRDefault="00432AD2" w:rsidP="00432AD2">
      <w:pPr>
        <w:widowControl/>
        <w:ind w:firstLine="640"/>
        <w:rPr>
          <w:rFonts w:ascii="仿宋_GB2312"/>
          <w:bCs/>
          <w:kern w:val="0"/>
          <w:szCs w:val="32"/>
        </w:rPr>
      </w:pPr>
      <w:r>
        <w:rPr>
          <w:rFonts w:ascii="仿宋_GB2312" w:hint="eastAsia"/>
          <w:bCs/>
          <w:kern w:val="0"/>
          <w:szCs w:val="32"/>
        </w:rPr>
        <w:t>一、主要职能</w:t>
      </w:r>
    </w:p>
    <w:p w:rsidR="00432AD2" w:rsidRDefault="00432AD2" w:rsidP="00432AD2">
      <w:pPr>
        <w:widowControl/>
        <w:ind w:firstLine="600"/>
        <w:rPr>
          <w:rFonts w:ascii="华文仿宋" w:eastAsia="华文仿宋" w:hAnsi="华文仿宋"/>
          <w:sz w:val="30"/>
          <w:szCs w:val="30"/>
        </w:rPr>
      </w:pPr>
      <w:r w:rsidRPr="00C919AF">
        <w:rPr>
          <w:rFonts w:ascii="华文仿宋" w:eastAsia="华文仿宋" w:hAnsi="华文仿宋" w:hint="eastAsia"/>
          <w:sz w:val="30"/>
          <w:szCs w:val="30"/>
        </w:rPr>
        <w:t>炎陵县人力资源和社会保障局是县人民政府组成局，负责全县机关事业单位用人工资计划编制、退休审批、转业干部安置；公务员管理、公务员招录、事业单位工作人员公开招聘、事业单位管理；专业技术人员职称评聘、技术人才选拨、培养、引进和人力资源市场管理；</w:t>
      </w:r>
      <w:r w:rsidRPr="00C919AF">
        <w:rPr>
          <w:rFonts w:ascii="华文仿宋" w:eastAsia="华文仿宋" w:hAnsi="华文仿宋" w:hint="eastAsia"/>
          <w:color w:val="000000"/>
          <w:sz w:val="30"/>
          <w:szCs w:val="30"/>
        </w:rPr>
        <w:t>落实就业创业扶持政策，</w:t>
      </w:r>
      <w:r w:rsidRPr="00C919AF">
        <w:rPr>
          <w:rFonts w:ascii="华文仿宋" w:eastAsia="华文仿宋" w:hAnsi="华文仿宋" w:hint="eastAsia"/>
          <w:sz w:val="30"/>
          <w:szCs w:val="30"/>
        </w:rPr>
        <w:t>开展就业援助工作，落实职业资格制度，统筹建立面向城乡劳动培训、人才培养和激励制度；负责企业养老保险、机关养老保险、城乡居民养老保险、失业保险、城镇职工医疗保险、城镇居民医疗保险、工伤保险、生育保险经办管理与服务，加强各险种基金管理与监督；负责劳动仲裁、劳动监察、工伤认定；负责政府绩效评估、为民办实事有关具体工作。</w:t>
      </w:r>
    </w:p>
    <w:p w:rsidR="00007E81" w:rsidRPr="00C919AF" w:rsidRDefault="00007E81" w:rsidP="00432AD2">
      <w:pPr>
        <w:widowControl/>
        <w:ind w:firstLine="600"/>
        <w:rPr>
          <w:rFonts w:ascii="华文仿宋" w:eastAsia="华文仿宋" w:hAnsi="华文仿宋"/>
          <w:sz w:val="30"/>
          <w:szCs w:val="30"/>
        </w:rPr>
      </w:pPr>
    </w:p>
    <w:p w:rsidR="00561D18" w:rsidRDefault="00561D18" w:rsidP="00561D18">
      <w:pPr>
        <w:widowControl/>
        <w:ind w:firstLine="640"/>
        <w:rPr>
          <w:rFonts w:ascii="仿宋_GB2312"/>
          <w:bCs/>
          <w:kern w:val="0"/>
          <w:szCs w:val="32"/>
        </w:rPr>
      </w:pPr>
      <w:r>
        <w:rPr>
          <w:rFonts w:ascii="仿宋_GB2312" w:hint="eastAsia"/>
          <w:bCs/>
          <w:kern w:val="0"/>
          <w:szCs w:val="32"/>
        </w:rPr>
        <w:t>二、部门决算单位构成</w:t>
      </w:r>
    </w:p>
    <w:p w:rsidR="00561D18" w:rsidRDefault="00561D18" w:rsidP="00561D18">
      <w:pPr>
        <w:widowControl/>
        <w:ind w:firstLineChars="150" w:firstLine="480"/>
        <w:rPr>
          <w:rFonts w:ascii="华文仿宋" w:eastAsia="华文仿宋" w:hAnsi="华文仿宋"/>
          <w:sz w:val="30"/>
          <w:szCs w:val="30"/>
        </w:rPr>
      </w:pPr>
      <w:r w:rsidRPr="007A0CB1">
        <w:rPr>
          <w:rFonts w:hint="eastAsia"/>
          <w:bCs/>
          <w:kern w:val="0"/>
          <w:szCs w:val="32"/>
        </w:rPr>
        <w:t>（一）内设机构设置。</w:t>
      </w:r>
    </w:p>
    <w:p w:rsidR="00561D18" w:rsidRDefault="00561D18" w:rsidP="00561D18">
      <w:pPr>
        <w:ind w:firstLine="600"/>
        <w:rPr>
          <w:rFonts w:ascii="华文仿宋" w:eastAsia="华文仿宋" w:hAnsi="华文仿宋"/>
          <w:sz w:val="30"/>
          <w:szCs w:val="30"/>
        </w:rPr>
      </w:pPr>
      <w:r w:rsidRPr="00C919AF">
        <w:rPr>
          <w:rFonts w:ascii="华文仿宋" w:eastAsia="华文仿宋" w:hAnsi="华文仿宋" w:hint="eastAsia"/>
          <w:sz w:val="30"/>
          <w:szCs w:val="30"/>
        </w:rPr>
        <w:t>根据上述职责，人力资源和社会保障局下设县机关事业社会保障局、城乡居民医保管理中心（工伤保险局）、县劳动就业管理局、县社会劳动保险事业管理局、县城乡居民养老保险局、县事业单位管理中心、霞阳社区劳动保障服务站、县人力资源服务中心、县劳动就业培训中心共9个所属事业单位，内设办公室、计划财务与基金监督股、法规与社会保险股（行政审批股）、劳</w:t>
      </w:r>
      <w:r w:rsidRPr="00C919AF">
        <w:rPr>
          <w:rFonts w:ascii="华文仿宋" w:eastAsia="华文仿宋" w:hAnsi="华文仿宋" w:hint="eastAsia"/>
          <w:sz w:val="30"/>
          <w:szCs w:val="30"/>
        </w:rPr>
        <w:lastRenderedPageBreak/>
        <w:t>动关系股（监察大队、劳动人事争议仲裁院）、专业技术人员管理股、工资福利股、公务员管理办公室7个职能股室，属县一级预算单位。人员编制66人（行政12人、机关后勤编 2 人、参公编34、全额事业编 12人、自筹6人），</w:t>
      </w:r>
      <w:r w:rsidRPr="00561D18">
        <w:rPr>
          <w:rFonts w:ascii="华文仿宋" w:eastAsia="华文仿宋" w:hAnsi="华文仿宋" w:hint="eastAsia"/>
          <w:sz w:val="30"/>
          <w:szCs w:val="30"/>
        </w:rPr>
        <w:t>2018年末人社局实有财政供养人员69人，其中：在职人员48人，退休人员21人。</w:t>
      </w:r>
    </w:p>
    <w:p w:rsidR="00007E81" w:rsidRDefault="00007E81" w:rsidP="00561D18">
      <w:pPr>
        <w:ind w:firstLine="600"/>
        <w:rPr>
          <w:rFonts w:ascii="华文仿宋" w:eastAsia="华文仿宋" w:hAnsi="华文仿宋"/>
          <w:sz w:val="30"/>
          <w:szCs w:val="30"/>
        </w:rPr>
      </w:pPr>
    </w:p>
    <w:p w:rsidR="00561D18" w:rsidRDefault="00171AC2" w:rsidP="0034575C">
      <w:pPr>
        <w:ind w:firstLine="640"/>
        <w:rPr>
          <w:bCs/>
          <w:kern w:val="0"/>
          <w:szCs w:val="32"/>
        </w:rPr>
      </w:pPr>
      <w:r w:rsidRPr="0034575C">
        <w:rPr>
          <w:rFonts w:hint="eastAsia"/>
          <w:bCs/>
          <w:kern w:val="0"/>
          <w:szCs w:val="32"/>
        </w:rPr>
        <w:t>(</w:t>
      </w:r>
      <w:r w:rsidRPr="0034575C">
        <w:rPr>
          <w:rFonts w:hint="eastAsia"/>
          <w:bCs/>
          <w:kern w:val="0"/>
          <w:szCs w:val="32"/>
        </w:rPr>
        <w:t>二</w:t>
      </w:r>
      <w:r w:rsidRPr="0034575C">
        <w:rPr>
          <w:rFonts w:hint="eastAsia"/>
          <w:bCs/>
          <w:kern w:val="0"/>
          <w:szCs w:val="32"/>
        </w:rPr>
        <w:t>)</w:t>
      </w:r>
      <w:r w:rsidR="0034575C">
        <w:rPr>
          <w:rFonts w:hint="eastAsia"/>
          <w:bCs/>
          <w:kern w:val="0"/>
          <w:szCs w:val="32"/>
        </w:rPr>
        <w:t>决算单位构成</w:t>
      </w:r>
    </w:p>
    <w:p w:rsidR="0034575C" w:rsidRPr="004557D9" w:rsidRDefault="004557D9" w:rsidP="004557D9">
      <w:pPr>
        <w:ind w:firstLine="600"/>
        <w:rPr>
          <w:rFonts w:ascii="华文仿宋" w:eastAsia="华文仿宋" w:hAnsi="华文仿宋"/>
          <w:sz w:val="30"/>
          <w:szCs w:val="30"/>
        </w:rPr>
      </w:pPr>
      <w:r w:rsidRPr="004557D9">
        <w:rPr>
          <w:rFonts w:ascii="华文仿宋" w:eastAsia="华文仿宋" w:hAnsi="华文仿宋" w:hint="eastAsia"/>
          <w:sz w:val="30"/>
          <w:szCs w:val="30"/>
        </w:rPr>
        <w:t>我局决算单位为单位本级</w:t>
      </w:r>
      <w:r>
        <w:rPr>
          <w:rFonts w:ascii="华文仿宋" w:eastAsia="华文仿宋" w:hAnsi="华文仿宋" w:hint="eastAsia"/>
          <w:sz w:val="30"/>
          <w:szCs w:val="30"/>
        </w:rPr>
        <w:t>,无独立财务二级机构。</w:t>
      </w:r>
    </w:p>
    <w:p w:rsidR="0034575C" w:rsidRPr="0034575C" w:rsidRDefault="0034575C" w:rsidP="0034575C">
      <w:pPr>
        <w:ind w:firstLine="640"/>
        <w:rPr>
          <w:bCs/>
          <w:kern w:val="0"/>
          <w:szCs w:val="32"/>
        </w:rPr>
      </w:pPr>
    </w:p>
    <w:p w:rsidR="003637A8" w:rsidRPr="00561D18" w:rsidRDefault="003637A8" w:rsidP="00561D18">
      <w:pPr>
        <w:widowControl/>
        <w:ind w:firstLineChars="0" w:firstLine="0"/>
        <w:jc w:val="center"/>
        <w:rPr>
          <w:rFonts w:ascii="黑体" w:eastAsia="黑体"/>
          <w:b/>
          <w:bCs/>
          <w:kern w:val="0"/>
          <w:szCs w:val="32"/>
        </w:rPr>
      </w:pPr>
      <w:r w:rsidRPr="00561D18">
        <w:rPr>
          <w:rFonts w:ascii="黑体" w:eastAsia="黑体" w:hint="eastAsia"/>
          <w:b/>
          <w:bCs/>
          <w:kern w:val="0"/>
          <w:szCs w:val="32"/>
        </w:rPr>
        <w:t>第二部分</w:t>
      </w:r>
      <w:r w:rsidRPr="00561D18">
        <w:rPr>
          <w:rFonts w:ascii="黑体" w:eastAsia="黑体"/>
          <w:b/>
          <w:bCs/>
          <w:kern w:val="0"/>
          <w:szCs w:val="32"/>
        </w:rPr>
        <w:t xml:space="preserve">  </w:t>
      </w:r>
      <w:r w:rsidR="00CC6568">
        <w:rPr>
          <w:rFonts w:ascii="黑体" w:eastAsia="黑体" w:hint="eastAsia"/>
          <w:b/>
          <w:bCs/>
          <w:kern w:val="0"/>
          <w:szCs w:val="32"/>
        </w:rPr>
        <w:t>炎陵县人社局</w:t>
      </w:r>
      <w:r w:rsidRPr="00561D18">
        <w:rPr>
          <w:rFonts w:ascii="黑体" w:eastAsia="黑体" w:hint="eastAsia"/>
          <w:b/>
          <w:bCs/>
          <w:kern w:val="0"/>
          <w:szCs w:val="32"/>
        </w:rPr>
        <w:t>单位</w:t>
      </w:r>
      <w:r w:rsidRPr="00561D18">
        <w:rPr>
          <w:rFonts w:ascii="黑体" w:eastAsia="黑体"/>
          <w:b/>
          <w:bCs/>
          <w:kern w:val="0"/>
          <w:szCs w:val="32"/>
        </w:rPr>
        <w:t>2018</w:t>
      </w:r>
      <w:r w:rsidRPr="00561D18">
        <w:rPr>
          <w:rFonts w:ascii="黑体" w:eastAsia="黑体" w:hint="eastAsia"/>
          <w:b/>
          <w:bCs/>
          <w:kern w:val="0"/>
          <w:szCs w:val="32"/>
        </w:rPr>
        <w:t>年度部门决算表</w:t>
      </w:r>
    </w:p>
    <w:p w:rsidR="00E10436" w:rsidRDefault="00AC682C" w:rsidP="00E10436">
      <w:pPr>
        <w:widowControl/>
        <w:spacing w:line="240" w:lineRule="auto"/>
        <w:ind w:firstLineChars="0" w:firstLine="0"/>
        <w:jc w:val="center"/>
        <w:rPr>
          <w:bCs/>
          <w:kern w:val="0"/>
          <w:szCs w:val="32"/>
        </w:rPr>
      </w:pPr>
      <w:r>
        <w:rPr>
          <w:rFonts w:hint="eastAsia"/>
          <w:bCs/>
          <w:kern w:val="0"/>
          <w:szCs w:val="32"/>
        </w:rPr>
        <w:t xml:space="preserve">    </w:t>
      </w:r>
    </w:p>
    <w:p w:rsidR="002371CB" w:rsidRDefault="00007E81" w:rsidP="00E10436">
      <w:pPr>
        <w:widowControl/>
        <w:spacing w:line="240" w:lineRule="auto"/>
        <w:ind w:firstLineChars="0" w:firstLine="0"/>
        <w:jc w:val="center"/>
        <w:rPr>
          <w:bCs/>
          <w:kern w:val="0"/>
          <w:szCs w:val="32"/>
        </w:rPr>
      </w:pPr>
      <w:r w:rsidRPr="00007E81">
        <w:rPr>
          <w:bCs/>
          <w:noProof/>
          <w:kern w:val="0"/>
          <w:szCs w:val="32"/>
        </w:rPr>
        <w:drawing>
          <wp:inline distT="0" distB="0" distL="0" distR="0">
            <wp:extent cx="5419725" cy="4076700"/>
            <wp:effectExtent l="19050" t="0" r="9525" b="0"/>
            <wp:docPr id="7" name="图片 7"/>
            <wp:cNvGraphicFramePr/>
            <a:graphic xmlns:a="http://schemas.openxmlformats.org/drawingml/2006/main">
              <a:graphicData uri="http://schemas.openxmlformats.org/drawingml/2006/picture">
                <pic:pic xmlns:pic="http://schemas.openxmlformats.org/drawingml/2006/picture">
                  <pic:nvPicPr>
                    <pic:cNvPr id="8193" name="Picture 1"/>
                    <pic:cNvPicPr>
                      <a:picLocks noChangeAspect="1" noChangeArrowheads="1"/>
                    </pic:cNvPicPr>
                  </pic:nvPicPr>
                  <pic:blipFill>
                    <a:blip r:embed="rId7"/>
                    <a:srcRect/>
                    <a:stretch>
                      <a:fillRect/>
                    </a:stretch>
                  </pic:blipFill>
                  <pic:spPr bwMode="auto">
                    <a:xfrm>
                      <a:off x="0" y="0"/>
                      <a:ext cx="5419725" cy="4076700"/>
                    </a:xfrm>
                    <a:prstGeom prst="rect">
                      <a:avLst/>
                    </a:prstGeom>
                    <a:noFill/>
                  </pic:spPr>
                </pic:pic>
              </a:graphicData>
            </a:graphic>
          </wp:inline>
        </w:drawing>
      </w:r>
    </w:p>
    <w:p w:rsidR="00CC6568" w:rsidRPr="00084DE9" w:rsidRDefault="00171AC2" w:rsidP="00E10436">
      <w:pPr>
        <w:widowControl/>
        <w:spacing w:line="240" w:lineRule="auto"/>
        <w:ind w:firstLineChars="0" w:firstLine="0"/>
        <w:jc w:val="center"/>
        <w:rPr>
          <w:bCs/>
          <w:kern w:val="0"/>
          <w:szCs w:val="32"/>
        </w:rPr>
      </w:pPr>
      <w:r>
        <w:rPr>
          <w:rFonts w:hint="eastAsia"/>
          <w:bCs/>
          <w:noProof/>
          <w:kern w:val="0"/>
          <w:szCs w:val="32"/>
        </w:rPr>
        <w:lastRenderedPageBreak/>
        <w:drawing>
          <wp:inline distT="0" distB="0" distL="0" distR="0">
            <wp:extent cx="5753100" cy="8172450"/>
            <wp:effectExtent l="19050" t="0" r="0" b="0"/>
            <wp:docPr id="156" name="图片 156" descr="C:\Users\rsj\Desktop\E[@BQ1V34GXK}T1LMK{4C2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rsj\Desktop\E[@BQ1V34GXK}T1LMK{4C2R.png"/>
                    <pic:cNvPicPr>
                      <a:picLocks noChangeAspect="1" noChangeArrowheads="1"/>
                    </pic:cNvPicPr>
                  </pic:nvPicPr>
                  <pic:blipFill>
                    <a:blip r:embed="rId8"/>
                    <a:srcRect/>
                    <a:stretch>
                      <a:fillRect/>
                    </a:stretch>
                  </pic:blipFill>
                  <pic:spPr bwMode="auto">
                    <a:xfrm>
                      <a:off x="0" y="0"/>
                      <a:ext cx="5753100" cy="8172450"/>
                    </a:xfrm>
                    <a:prstGeom prst="rect">
                      <a:avLst/>
                    </a:prstGeom>
                    <a:noFill/>
                    <a:ln w="9525">
                      <a:noFill/>
                      <a:miter lim="800000"/>
                      <a:headEnd/>
                      <a:tailEnd/>
                    </a:ln>
                  </pic:spPr>
                </pic:pic>
              </a:graphicData>
            </a:graphic>
          </wp:inline>
        </w:drawing>
      </w:r>
    </w:p>
    <w:p w:rsidR="00200C1B" w:rsidRPr="00200C1B" w:rsidRDefault="00171AC2" w:rsidP="00200C1B">
      <w:pPr>
        <w:widowControl/>
        <w:spacing w:line="240" w:lineRule="auto"/>
        <w:ind w:firstLineChars="0" w:firstLine="0"/>
        <w:jc w:val="center"/>
        <w:rPr>
          <w:bCs/>
          <w:kern w:val="0"/>
          <w:szCs w:val="32"/>
        </w:rPr>
      </w:pPr>
      <w:r>
        <w:rPr>
          <w:rFonts w:hint="eastAsia"/>
          <w:bCs/>
          <w:noProof/>
          <w:kern w:val="0"/>
          <w:szCs w:val="32"/>
        </w:rPr>
        <w:lastRenderedPageBreak/>
        <w:drawing>
          <wp:inline distT="0" distB="0" distL="0" distR="0">
            <wp:extent cx="5781675" cy="8610600"/>
            <wp:effectExtent l="19050" t="0" r="9525" b="0"/>
            <wp:docPr id="158" name="图片 158" descr="C:\Users\rsj\Desktop\ZV2B3[{(KDCBE9WQCH8@`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rsj\Desktop\ZV2B3[{(KDCBE9WQCH8@`MO.png"/>
                    <pic:cNvPicPr>
                      <a:picLocks noChangeAspect="1" noChangeArrowheads="1"/>
                    </pic:cNvPicPr>
                  </pic:nvPicPr>
                  <pic:blipFill>
                    <a:blip r:embed="rId9"/>
                    <a:srcRect/>
                    <a:stretch>
                      <a:fillRect/>
                    </a:stretch>
                  </pic:blipFill>
                  <pic:spPr bwMode="auto">
                    <a:xfrm>
                      <a:off x="0" y="0"/>
                      <a:ext cx="5781675" cy="8610600"/>
                    </a:xfrm>
                    <a:prstGeom prst="rect">
                      <a:avLst/>
                    </a:prstGeom>
                    <a:noFill/>
                    <a:ln w="9525">
                      <a:noFill/>
                      <a:miter lim="800000"/>
                      <a:headEnd/>
                      <a:tailEnd/>
                    </a:ln>
                  </pic:spPr>
                </pic:pic>
              </a:graphicData>
            </a:graphic>
          </wp:inline>
        </w:drawing>
      </w:r>
    </w:p>
    <w:p w:rsidR="00200C1B" w:rsidRDefault="00200C1B" w:rsidP="00E10436">
      <w:pPr>
        <w:widowControl/>
        <w:spacing w:line="240" w:lineRule="auto"/>
        <w:ind w:firstLineChars="0" w:firstLine="0"/>
        <w:jc w:val="center"/>
        <w:rPr>
          <w:rFonts w:ascii="华文中宋" w:eastAsia="方正小标宋_GBK" w:hAnsi="华文中宋" w:cs="宋体"/>
          <w:color w:val="000000"/>
          <w:kern w:val="0"/>
          <w:sz w:val="36"/>
          <w:szCs w:val="36"/>
        </w:rPr>
        <w:sectPr w:rsidR="00200C1B" w:rsidSect="00C0282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start="7"/>
          <w:cols w:space="425"/>
          <w:docGrid w:type="lines" w:linePitch="312"/>
        </w:sectPr>
      </w:pPr>
    </w:p>
    <w:p w:rsidR="00C53F2A" w:rsidRDefault="00171AC2" w:rsidP="00C53F2A">
      <w:pPr>
        <w:widowControl/>
        <w:spacing w:line="240" w:lineRule="auto"/>
        <w:ind w:firstLineChars="0" w:firstLine="0"/>
        <w:jc w:val="center"/>
        <w:rPr>
          <w:rFonts w:ascii="华文中宋" w:eastAsia="方正小标宋_GBK" w:hAnsi="华文中宋" w:cs="宋体"/>
          <w:color w:val="000000"/>
          <w:kern w:val="0"/>
          <w:sz w:val="36"/>
          <w:szCs w:val="36"/>
        </w:rPr>
      </w:pPr>
      <w:r>
        <w:rPr>
          <w:rFonts w:ascii="华文中宋" w:eastAsia="方正小标宋_GBK" w:hAnsi="华文中宋" w:cs="宋体"/>
          <w:noProof/>
          <w:color w:val="000000"/>
          <w:kern w:val="0"/>
          <w:sz w:val="36"/>
          <w:szCs w:val="36"/>
        </w:rPr>
        <w:lastRenderedPageBreak/>
        <w:drawing>
          <wp:inline distT="0" distB="0" distL="0" distR="0">
            <wp:extent cx="8534400" cy="4972050"/>
            <wp:effectExtent l="19050" t="0" r="0" b="0"/>
            <wp:docPr id="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srcRect/>
                    <a:stretch>
                      <a:fillRect/>
                    </a:stretch>
                  </pic:blipFill>
                  <pic:spPr bwMode="auto">
                    <a:xfrm>
                      <a:off x="0" y="0"/>
                      <a:ext cx="8534400" cy="4972050"/>
                    </a:xfrm>
                    <a:prstGeom prst="rect">
                      <a:avLst/>
                    </a:prstGeom>
                    <a:noFill/>
                    <a:ln w="9525">
                      <a:noFill/>
                      <a:miter lim="800000"/>
                      <a:headEnd/>
                      <a:tailEnd/>
                    </a:ln>
                  </pic:spPr>
                </pic:pic>
              </a:graphicData>
            </a:graphic>
          </wp:inline>
        </w:drawing>
      </w:r>
    </w:p>
    <w:p w:rsidR="00C53F2A" w:rsidRDefault="00C53F2A" w:rsidP="00C53F2A">
      <w:pPr>
        <w:widowControl/>
        <w:spacing w:line="240" w:lineRule="auto"/>
        <w:ind w:firstLineChars="0" w:firstLine="0"/>
        <w:rPr>
          <w:rFonts w:ascii="华文中宋" w:eastAsia="方正小标宋_GBK" w:hAnsi="华文中宋" w:cs="宋体"/>
          <w:color w:val="000000"/>
          <w:kern w:val="0"/>
          <w:sz w:val="36"/>
          <w:szCs w:val="36"/>
        </w:rPr>
        <w:sectPr w:rsidR="00C53F2A" w:rsidSect="00200C1B">
          <w:pgSz w:w="16838" w:h="11906" w:orient="landscape"/>
          <w:pgMar w:top="1800" w:right="1440" w:bottom="1800" w:left="1440" w:header="851" w:footer="992" w:gutter="0"/>
          <w:pgNumType w:fmt="numberInDash" w:start="7"/>
          <w:cols w:space="425"/>
          <w:docGrid w:type="lines" w:linePitch="435"/>
        </w:sectPr>
      </w:pPr>
    </w:p>
    <w:p w:rsidR="00C53F2A" w:rsidRDefault="00171AC2" w:rsidP="00E10436">
      <w:pPr>
        <w:widowControl/>
        <w:spacing w:line="240" w:lineRule="auto"/>
        <w:ind w:firstLineChars="0" w:firstLine="0"/>
        <w:jc w:val="center"/>
        <w:rPr>
          <w:rFonts w:ascii="华文中宋" w:eastAsia="方正小标宋_GBK" w:hAnsi="华文中宋" w:cs="宋体"/>
          <w:color w:val="000000"/>
          <w:kern w:val="0"/>
          <w:sz w:val="36"/>
          <w:szCs w:val="36"/>
        </w:rPr>
      </w:pPr>
      <w:r>
        <w:rPr>
          <w:rFonts w:ascii="华文中宋" w:eastAsia="方正小标宋_GBK" w:hAnsi="华文中宋" w:cs="宋体"/>
          <w:noProof/>
          <w:color w:val="000000"/>
          <w:kern w:val="0"/>
          <w:sz w:val="36"/>
          <w:szCs w:val="36"/>
        </w:rPr>
        <w:lastRenderedPageBreak/>
        <w:drawing>
          <wp:inline distT="0" distB="0" distL="0" distR="0">
            <wp:extent cx="5876925" cy="8229600"/>
            <wp:effectExtent l="19050" t="0" r="9525" b="0"/>
            <wp:docPr id="2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a:srcRect/>
                    <a:stretch>
                      <a:fillRect/>
                    </a:stretch>
                  </pic:blipFill>
                  <pic:spPr bwMode="auto">
                    <a:xfrm>
                      <a:off x="0" y="0"/>
                      <a:ext cx="5876925" cy="8229600"/>
                    </a:xfrm>
                    <a:prstGeom prst="rect">
                      <a:avLst/>
                    </a:prstGeom>
                    <a:noFill/>
                    <a:ln w="9525">
                      <a:noFill/>
                      <a:miter lim="800000"/>
                      <a:headEnd/>
                      <a:tailEnd/>
                    </a:ln>
                  </pic:spPr>
                </pic:pic>
              </a:graphicData>
            </a:graphic>
          </wp:inline>
        </w:drawing>
      </w:r>
    </w:p>
    <w:p w:rsidR="00C53F2A" w:rsidRDefault="00C53F2A" w:rsidP="00E10436">
      <w:pPr>
        <w:widowControl/>
        <w:spacing w:line="240" w:lineRule="auto"/>
        <w:ind w:firstLineChars="0" w:firstLine="0"/>
        <w:jc w:val="center"/>
        <w:rPr>
          <w:rFonts w:ascii="华文中宋" w:eastAsia="方正小标宋_GBK" w:hAnsi="华文中宋" w:cs="宋体"/>
          <w:color w:val="000000"/>
          <w:kern w:val="0"/>
          <w:sz w:val="36"/>
          <w:szCs w:val="36"/>
        </w:rPr>
        <w:sectPr w:rsidR="00C53F2A" w:rsidSect="00C53F2A">
          <w:pgSz w:w="11906" w:h="16838"/>
          <w:pgMar w:top="1440" w:right="1800" w:bottom="1440" w:left="1800" w:header="851" w:footer="992" w:gutter="0"/>
          <w:pgNumType w:fmt="numberInDash" w:start="7"/>
          <w:cols w:space="425"/>
          <w:docGrid w:type="lines" w:linePitch="435"/>
        </w:sectPr>
      </w:pPr>
    </w:p>
    <w:p w:rsidR="00C53F2A" w:rsidRDefault="004D05B5" w:rsidP="00E10436">
      <w:pPr>
        <w:widowControl/>
        <w:spacing w:line="240" w:lineRule="auto"/>
        <w:ind w:firstLineChars="0" w:firstLine="0"/>
        <w:jc w:val="center"/>
        <w:rPr>
          <w:rFonts w:ascii="华文中宋" w:eastAsia="方正小标宋_GBK" w:hAnsi="华文中宋" w:cs="宋体"/>
          <w:noProof/>
          <w:color w:val="000000"/>
          <w:kern w:val="0"/>
          <w:sz w:val="36"/>
          <w:szCs w:val="36"/>
        </w:rPr>
      </w:pPr>
      <w:r w:rsidRPr="004D05B5">
        <w:rPr>
          <w:rFonts w:ascii="华文中宋" w:eastAsia="方正小标宋_GBK" w:hAnsi="华文中宋" w:cs="宋体"/>
          <w:noProof/>
          <w:color w:val="000000"/>
          <w:kern w:val="0"/>
          <w:sz w:val="36"/>
          <w:szCs w:val="36"/>
        </w:rPr>
        <w:lastRenderedPageBreak/>
        <w:drawing>
          <wp:inline distT="0" distB="0" distL="0" distR="0">
            <wp:extent cx="9010650" cy="523875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5132" name="Picture 12"/>
                    <pic:cNvPicPr>
                      <a:picLocks noChangeAspect="1" noChangeArrowheads="1"/>
                    </pic:cNvPicPr>
                  </pic:nvPicPr>
                  <pic:blipFill>
                    <a:blip r:embed="rId18"/>
                    <a:srcRect/>
                    <a:stretch>
                      <a:fillRect/>
                    </a:stretch>
                  </pic:blipFill>
                  <pic:spPr bwMode="auto">
                    <a:xfrm>
                      <a:off x="0" y="0"/>
                      <a:ext cx="9012134" cy="5239613"/>
                    </a:xfrm>
                    <a:prstGeom prst="rect">
                      <a:avLst/>
                    </a:prstGeom>
                    <a:noFill/>
                  </pic:spPr>
                </pic:pic>
              </a:graphicData>
            </a:graphic>
          </wp:inline>
        </w:drawing>
      </w:r>
    </w:p>
    <w:p w:rsidR="00C53F2A" w:rsidRDefault="00DC5CD7" w:rsidP="00E10436">
      <w:pPr>
        <w:widowControl/>
        <w:spacing w:line="240" w:lineRule="auto"/>
        <w:ind w:firstLineChars="0" w:firstLine="0"/>
        <w:jc w:val="center"/>
        <w:rPr>
          <w:rFonts w:ascii="华文中宋" w:eastAsia="方正小标宋_GBK" w:hAnsi="华文中宋" w:cs="宋体"/>
          <w:color w:val="000000"/>
          <w:kern w:val="0"/>
          <w:sz w:val="36"/>
          <w:szCs w:val="36"/>
        </w:rPr>
      </w:pPr>
      <w:r w:rsidRPr="00DC5CD7">
        <w:rPr>
          <w:rFonts w:ascii="华文中宋" w:eastAsia="方正小标宋_GBK" w:hAnsi="华文中宋" w:cs="宋体"/>
          <w:noProof/>
          <w:color w:val="000000"/>
          <w:kern w:val="0"/>
          <w:sz w:val="36"/>
          <w:szCs w:val="36"/>
        </w:rPr>
        <w:lastRenderedPageBreak/>
        <w:drawing>
          <wp:inline distT="0" distB="0" distL="0" distR="0">
            <wp:extent cx="9029700" cy="2333625"/>
            <wp:effectExtent l="19050" t="0" r="0" b="0"/>
            <wp:docPr id="3" name="图片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9"/>
                    <a:srcRect/>
                    <a:stretch>
                      <a:fillRect/>
                    </a:stretch>
                  </pic:blipFill>
                  <pic:spPr bwMode="auto">
                    <a:xfrm>
                      <a:off x="0" y="0"/>
                      <a:ext cx="9029700" cy="2333625"/>
                    </a:xfrm>
                    <a:prstGeom prst="rect">
                      <a:avLst/>
                    </a:prstGeom>
                    <a:noFill/>
                  </pic:spPr>
                </pic:pic>
              </a:graphicData>
            </a:graphic>
          </wp:inline>
        </w:drawing>
      </w:r>
      <w:r w:rsidR="00835E34" w:rsidRPr="00835E34">
        <w:rPr>
          <w:rFonts w:ascii="华文中宋" w:eastAsia="方正小标宋_GBK" w:hAnsi="华文中宋" w:cs="宋体"/>
          <w:noProof/>
          <w:color w:val="000000"/>
          <w:kern w:val="0"/>
          <w:sz w:val="36"/>
          <w:szCs w:val="36"/>
        </w:rPr>
        <w:drawing>
          <wp:inline distT="0" distB="0" distL="0" distR="0">
            <wp:extent cx="9010650" cy="2447925"/>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0"/>
                    <a:srcRect/>
                    <a:stretch>
                      <a:fillRect/>
                    </a:stretch>
                  </pic:blipFill>
                  <pic:spPr bwMode="auto">
                    <a:xfrm>
                      <a:off x="0" y="0"/>
                      <a:ext cx="9019661" cy="2450373"/>
                    </a:xfrm>
                    <a:prstGeom prst="rect">
                      <a:avLst/>
                    </a:prstGeom>
                    <a:noFill/>
                  </pic:spPr>
                </pic:pic>
              </a:graphicData>
            </a:graphic>
          </wp:inline>
        </w:drawing>
      </w:r>
    </w:p>
    <w:p w:rsidR="00CB28B6" w:rsidRDefault="00CB28B6" w:rsidP="004557D9">
      <w:pPr>
        <w:widowControl/>
        <w:spacing w:line="240" w:lineRule="auto"/>
        <w:ind w:firstLineChars="0" w:firstLine="0"/>
        <w:jc w:val="center"/>
        <w:rPr>
          <w:rFonts w:ascii="华文中宋" w:eastAsia="方正小标宋_GBK" w:hAnsi="华文中宋" w:cs="宋体"/>
          <w:color w:val="000000"/>
          <w:kern w:val="0"/>
          <w:sz w:val="36"/>
          <w:szCs w:val="36"/>
        </w:rPr>
        <w:sectPr w:rsidR="00CB28B6" w:rsidSect="00C53F2A">
          <w:pgSz w:w="16838" w:h="11906" w:orient="landscape"/>
          <w:pgMar w:top="1800" w:right="1440" w:bottom="1800" w:left="1440" w:header="851" w:footer="992" w:gutter="0"/>
          <w:pgNumType w:fmt="numberInDash" w:start="7"/>
          <w:cols w:space="425"/>
          <w:docGrid w:type="lines" w:linePitch="435"/>
        </w:sectPr>
      </w:pPr>
    </w:p>
    <w:p w:rsidR="003637A8" w:rsidRDefault="003637A8" w:rsidP="00977862">
      <w:pPr>
        <w:widowControl/>
        <w:spacing w:line="520" w:lineRule="exact"/>
        <w:ind w:firstLineChars="0" w:firstLine="0"/>
        <w:rPr>
          <w:rFonts w:eastAsia="黑体"/>
          <w:bCs/>
          <w:kern w:val="0"/>
          <w:szCs w:val="32"/>
        </w:rPr>
      </w:pPr>
      <w:r w:rsidRPr="004C6008">
        <w:rPr>
          <w:rFonts w:eastAsia="黑体" w:hint="eastAsia"/>
          <w:bCs/>
          <w:kern w:val="0"/>
          <w:szCs w:val="32"/>
        </w:rPr>
        <w:lastRenderedPageBreak/>
        <w:t>第三部分</w:t>
      </w:r>
      <w:r w:rsidRPr="004C6008">
        <w:rPr>
          <w:rFonts w:eastAsia="黑体"/>
          <w:bCs/>
          <w:kern w:val="0"/>
          <w:szCs w:val="32"/>
        </w:rPr>
        <w:t xml:space="preserve">  </w:t>
      </w:r>
      <w:r w:rsidR="004557D9">
        <w:rPr>
          <w:rFonts w:eastAsia="黑体" w:hint="eastAsia"/>
          <w:bCs/>
          <w:kern w:val="0"/>
          <w:szCs w:val="32"/>
        </w:rPr>
        <w:t>炎陵县人社局</w:t>
      </w:r>
      <w:r w:rsidRPr="004C6008">
        <w:rPr>
          <w:rFonts w:eastAsia="黑体" w:hint="eastAsia"/>
          <w:bCs/>
          <w:kern w:val="0"/>
          <w:szCs w:val="32"/>
        </w:rPr>
        <w:t>单位</w:t>
      </w:r>
      <w:r w:rsidRPr="004C6008">
        <w:rPr>
          <w:rFonts w:eastAsia="黑体"/>
          <w:bCs/>
          <w:kern w:val="0"/>
          <w:szCs w:val="32"/>
        </w:rPr>
        <w:t>201</w:t>
      </w:r>
      <w:r>
        <w:rPr>
          <w:rFonts w:eastAsia="黑体"/>
          <w:bCs/>
          <w:kern w:val="0"/>
          <w:szCs w:val="32"/>
        </w:rPr>
        <w:t>8</w:t>
      </w:r>
      <w:r w:rsidRPr="004C6008">
        <w:rPr>
          <w:rFonts w:eastAsia="黑体" w:hint="eastAsia"/>
          <w:bCs/>
          <w:kern w:val="0"/>
          <w:szCs w:val="32"/>
        </w:rPr>
        <w:t>年度部门决算情况说明</w:t>
      </w:r>
    </w:p>
    <w:p w:rsidR="003637A8" w:rsidRPr="00E80E25" w:rsidRDefault="003637A8" w:rsidP="00977862">
      <w:pPr>
        <w:widowControl/>
        <w:spacing w:line="520" w:lineRule="exact"/>
        <w:ind w:firstLineChars="150" w:firstLine="480"/>
        <w:rPr>
          <w:rFonts w:eastAsia="黑体"/>
          <w:bCs/>
          <w:kern w:val="0"/>
          <w:szCs w:val="32"/>
        </w:rPr>
      </w:pPr>
      <w:r w:rsidRPr="004C6008">
        <w:rPr>
          <w:rFonts w:hint="eastAsia"/>
          <w:kern w:val="0"/>
          <w:szCs w:val="32"/>
        </w:rPr>
        <w:t>一、收入支出决算总体情况说明</w:t>
      </w:r>
    </w:p>
    <w:p w:rsidR="00007E81" w:rsidRDefault="00007E81" w:rsidP="00977862">
      <w:pPr>
        <w:widowControl/>
        <w:spacing w:line="520" w:lineRule="exact"/>
        <w:ind w:firstLine="600"/>
        <w:rPr>
          <w:rFonts w:ascii="华文仿宋" w:eastAsia="华文仿宋" w:hAnsi="华文仿宋"/>
          <w:sz w:val="30"/>
          <w:szCs w:val="30"/>
        </w:rPr>
      </w:pPr>
      <w:r w:rsidRPr="00007E81">
        <w:rPr>
          <w:rFonts w:ascii="华文仿宋" w:eastAsia="华文仿宋" w:hAnsi="华文仿宋" w:hint="eastAsia"/>
          <w:sz w:val="30"/>
          <w:szCs w:val="30"/>
        </w:rPr>
        <w:t>①2018年人社局收入决算总额为20497176.62元，其中财政拨款收入15861781.98元；其他收入4635394.64元（均为二级局并账原事业结余），收入决算总额较2017年增9854925.39元，增加原因一是财政拨付扶贫专项资金7523350元、二是按财政要求将原二机机构并账，结余并入2331575.39元。②2018年人社局支出决算总额为18113769.26元，其中：一般公共服务支出3357002.02元，社会保障和就业支出4059134.96元，医疗卫生与计划生育支出5355741元（含医疗救助扶贫4755300元）、农林水支出2768050元（系其他扶贫支出），住房保障支出321854元，其他支出</w:t>
      </w:r>
      <w:r w:rsidRPr="00007E81">
        <w:rPr>
          <w:rFonts w:ascii="华文仿宋" w:eastAsia="华文仿宋" w:hAnsi="华文仿宋"/>
          <w:sz w:val="30"/>
          <w:szCs w:val="30"/>
        </w:rPr>
        <w:t>1289826.09</w:t>
      </w:r>
      <w:r w:rsidRPr="00007E81">
        <w:rPr>
          <w:rFonts w:ascii="华文仿宋" w:eastAsia="华文仿宋" w:hAnsi="华文仿宋" w:hint="eastAsia"/>
          <w:sz w:val="30"/>
          <w:szCs w:val="30"/>
        </w:rPr>
        <w:t>元，年末结转和结余为2383407.36元（均为二级局并账原事业结余）。支出决算总额较2017年增4953331.28增加原因是增加了扶贫支出。</w:t>
      </w:r>
    </w:p>
    <w:p w:rsidR="003637A8" w:rsidRPr="00007E81" w:rsidRDefault="003637A8" w:rsidP="00977862">
      <w:pPr>
        <w:widowControl/>
        <w:spacing w:line="520" w:lineRule="exact"/>
        <w:ind w:firstLine="640"/>
        <w:rPr>
          <w:kern w:val="0"/>
          <w:szCs w:val="32"/>
        </w:rPr>
      </w:pPr>
      <w:r w:rsidRPr="00007E81">
        <w:rPr>
          <w:rFonts w:hint="eastAsia"/>
          <w:kern w:val="0"/>
          <w:szCs w:val="32"/>
        </w:rPr>
        <w:t>二、收入决算情况说明</w:t>
      </w:r>
    </w:p>
    <w:p w:rsidR="003637A8" w:rsidRDefault="00007E81" w:rsidP="00977862">
      <w:pPr>
        <w:widowControl/>
        <w:spacing w:line="520" w:lineRule="exact"/>
        <w:ind w:firstLine="600"/>
        <w:rPr>
          <w:b/>
          <w:bCs/>
          <w:kern w:val="0"/>
          <w:szCs w:val="32"/>
        </w:rPr>
      </w:pPr>
      <w:r w:rsidRPr="00007E81">
        <w:rPr>
          <w:rFonts w:ascii="华文仿宋" w:eastAsia="华文仿宋" w:hAnsi="华文仿宋" w:hint="eastAsia"/>
          <w:sz w:val="30"/>
          <w:szCs w:val="30"/>
        </w:rPr>
        <w:t>2018年人社局收入决算总额为20497176.62元，其中财政拨款收入15861781.98元；其他收入4635394.64元（均为二级局并账原事业结余），收入决算总额较2017年增9854925.39元，增加原因一是财政拨付扶贫专项资金7523350元、二是按财政要求将原二机机构并账，结余并入2331575.39元。</w:t>
      </w:r>
    </w:p>
    <w:p w:rsidR="003637A8" w:rsidRDefault="003637A8" w:rsidP="00977862">
      <w:pPr>
        <w:widowControl/>
        <w:spacing w:line="520" w:lineRule="exact"/>
        <w:ind w:firstLine="640"/>
        <w:rPr>
          <w:b/>
          <w:bCs/>
          <w:kern w:val="0"/>
          <w:szCs w:val="32"/>
        </w:rPr>
      </w:pPr>
      <w:r w:rsidRPr="004C6008">
        <w:rPr>
          <w:rFonts w:hint="eastAsia"/>
          <w:kern w:val="0"/>
          <w:szCs w:val="32"/>
        </w:rPr>
        <w:t>三、支出决算情况说明</w:t>
      </w:r>
    </w:p>
    <w:p w:rsidR="00007E81" w:rsidRDefault="00007E81" w:rsidP="00977862">
      <w:pPr>
        <w:widowControl/>
        <w:spacing w:line="520" w:lineRule="exact"/>
        <w:ind w:firstLine="600"/>
        <w:rPr>
          <w:rFonts w:ascii="华文仿宋" w:eastAsia="华文仿宋" w:hAnsi="华文仿宋"/>
          <w:sz w:val="30"/>
          <w:szCs w:val="30"/>
        </w:rPr>
      </w:pPr>
      <w:r w:rsidRPr="00007E81">
        <w:rPr>
          <w:rFonts w:ascii="华文仿宋" w:eastAsia="华文仿宋" w:hAnsi="华文仿宋" w:hint="eastAsia"/>
          <w:sz w:val="30"/>
          <w:szCs w:val="30"/>
        </w:rPr>
        <w:t>2018年人社局支出决算总额为18113769.26元，其中：一般公共服务支出3357002.02元，社会保障和就业支出4059134.96元，医疗卫生与计划生育支出5355741元（含医疗救助扶贫4755300元）、农林水支出2768050元（系其他扶贫支出），住房保障支出321854元，其他支出</w:t>
      </w:r>
      <w:r w:rsidRPr="00007E81">
        <w:rPr>
          <w:rFonts w:ascii="华文仿宋" w:eastAsia="华文仿宋" w:hAnsi="华文仿宋"/>
          <w:sz w:val="30"/>
          <w:szCs w:val="30"/>
        </w:rPr>
        <w:t>1289826.09</w:t>
      </w:r>
      <w:r w:rsidRPr="00007E81">
        <w:rPr>
          <w:rFonts w:ascii="华文仿宋" w:eastAsia="华文仿宋" w:hAnsi="华文仿宋" w:hint="eastAsia"/>
          <w:sz w:val="30"/>
          <w:szCs w:val="30"/>
        </w:rPr>
        <w:t>元，年末结转和结余为2383407.36</w:t>
      </w:r>
      <w:r w:rsidRPr="00007E81">
        <w:rPr>
          <w:rFonts w:ascii="华文仿宋" w:eastAsia="华文仿宋" w:hAnsi="华文仿宋" w:hint="eastAsia"/>
          <w:sz w:val="30"/>
          <w:szCs w:val="30"/>
        </w:rPr>
        <w:lastRenderedPageBreak/>
        <w:t>元（均为二级局并账原事业结余）。支出决算总额较2017年增4953331.28增加原因是增加了扶贫支出。</w:t>
      </w:r>
    </w:p>
    <w:p w:rsidR="003637A8" w:rsidRDefault="003637A8" w:rsidP="00977862">
      <w:pPr>
        <w:widowControl/>
        <w:spacing w:line="520" w:lineRule="exact"/>
        <w:ind w:firstLine="640"/>
        <w:rPr>
          <w:kern w:val="0"/>
          <w:szCs w:val="32"/>
        </w:rPr>
      </w:pPr>
      <w:r w:rsidRPr="004C6008">
        <w:rPr>
          <w:rFonts w:hint="eastAsia"/>
          <w:kern w:val="0"/>
          <w:szCs w:val="32"/>
        </w:rPr>
        <w:t>四、财政拨款收入支出决算总体情况说明</w:t>
      </w:r>
    </w:p>
    <w:p w:rsidR="00977862" w:rsidRPr="00977862" w:rsidRDefault="00977862" w:rsidP="00977862">
      <w:pPr>
        <w:widowControl/>
        <w:spacing w:line="520" w:lineRule="exact"/>
        <w:ind w:firstLine="600"/>
        <w:rPr>
          <w:rFonts w:ascii="华文仿宋" w:eastAsia="华文仿宋" w:hAnsi="华文仿宋"/>
          <w:sz w:val="30"/>
          <w:szCs w:val="30"/>
        </w:rPr>
      </w:pPr>
      <w:r w:rsidRPr="00977862">
        <w:rPr>
          <w:rFonts w:ascii="华文仿宋" w:eastAsia="华文仿宋" w:hAnsi="华文仿宋" w:hint="eastAsia"/>
          <w:sz w:val="30"/>
          <w:szCs w:val="30"/>
        </w:rPr>
        <w:t>①2018年人社局收入决算总额为20497176.62元，其中当年财政拨款收入15861781.98元，收入决算总额较2017年增9854925.39元，增加原因是本年按政府要求将原独立核算的二级机构并入机关。②2018年人社局支出决算总额为18133769.26元，其中：一般公共服务支出3357002.02元，社会保障和就业支出4059134.96元，医疗卫生与计划生育支出5355741元、农林水支出2768050元，住房保障支出321854，其他支出2251987.58元，年末结转和结余为2383407.36。支出决算总额较2017年增4973331.28元增加原因是本年并入了原独立核算的事业机构。</w:t>
      </w:r>
    </w:p>
    <w:p w:rsidR="003637A8" w:rsidRDefault="003637A8" w:rsidP="003637A8">
      <w:pPr>
        <w:widowControl/>
        <w:ind w:firstLine="640"/>
        <w:rPr>
          <w:b/>
          <w:bCs/>
          <w:kern w:val="0"/>
          <w:szCs w:val="32"/>
        </w:rPr>
      </w:pPr>
      <w:r w:rsidRPr="004C6008">
        <w:rPr>
          <w:rFonts w:hint="eastAsia"/>
          <w:kern w:val="0"/>
          <w:szCs w:val="32"/>
        </w:rPr>
        <w:t>五、一般公共预算财政拨款支出决算情况说明</w:t>
      </w:r>
    </w:p>
    <w:p w:rsidR="003637A8" w:rsidRDefault="003637A8" w:rsidP="003637A8">
      <w:pPr>
        <w:widowControl/>
        <w:ind w:firstLine="640"/>
        <w:rPr>
          <w:b/>
          <w:bCs/>
          <w:kern w:val="0"/>
          <w:szCs w:val="32"/>
        </w:rPr>
      </w:pPr>
      <w:r w:rsidRPr="004C6008">
        <w:rPr>
          <w:rFonts w:hint="eastAsia"/>
          <w:kern w:val="0"/>
          <w:szCs w:val="32"/>
        </w:rPr>
        <w:t>（一）财政拨款支出决算总体情况。</w:t>
      </w:r>
    </w:p>
    <w:p w:rsidR="00007E81" w:rsidRPr="00007E81" w:rsidRDefault="00007E81" w:rsidP="00007E81">
      <w:pPr>
        <w:widowControl/>
        <w:ind w:firstLine="600"/>
        <w:jc w:val="left"/>
        <w:rPr>
          <w:rFonts w:ascii="华文仿宋" w:eastAsia="华文仿宋" w:hAnsi="华文仿宋"/>
          <w:sz w:val="30"/>
          <w:szCs w:val="30"/>
        </w:rPr>
      </w:pPr>
      <w:r w:rsidRPr="00007E81">
        <w:rPr>
          <w:rFonts w:ascii="华文仿宋" w:eastAsia="华文仿宋" w:hAnsi="华文仿宋" w:hint="eastAsia"/>
          <w:sz w:val="30"/>
          <w:szCs w:val="30"/>
        </w:rPr>
        <w:t>基本支出15861781.98，较上年的2701344元增加了20.53%，支出增加的原因是增设了扶贫支出。</w:t>
      </w:r>
      <w:r w:rsidR="00977862">
        <w:rPr>
          <w:rFonts w:ascii="华文仿宋" w:eastAsia="华文仿宋" w:hAnsi="华文仿宋" w:hint="eastAsia"/>
          <w:sz w:val="30"/>
          <w:szCs w:val="30"/>
        </w:rPr>
        <w:t>无专项支出。</w:t>
      </w:r>
    </w:p>
    <w:p w:rsidR="003637A8" w:rsidRDefault="003637A8" w:rsidP="003637A8">
      <w:pPr>
        <w:widowControl/>
        <w:ind w:firstLine="640"/>
        <w:rPr>
          <w:b/>
          <w:bCs/>
          <w:kern w:val="0"/>
          <w:szCs w:val="32"/>
        </w:rPr>
      </w:pPr>
      <w:r w:rsidRPr="004C6008">
        <w:rPr>
          <w:rFonts w:hint="eastAsia"/>
          <w:kern w:val="0"/>
          <w:szCs w:val="32"/>
        </w:rPr>
        <w:t>（二）财政拨款支出决算结构情况。</w:t>
      </w:r>
    </w:p>
    <w:p w:rsidR="004C4DCA" w:rsidRPr="004C4DCA" w:rsidRDefault="0044659E" w:rsidP="004C4DCA">
      <w:pPr>
        <w:widowControl/>
        <w:ind w:firstLineChars="196" w:firstLine="588"/>
        <w:jc w:val="left"/>
        <w:rPr>
          <w:rFonts w:ascii="华文仿宋" w:eastAsia="华文仿宋" w:hAnsi="华文仿宋"/>
          <w:sz w:val="30"/>
          <w:szCs w:val="30"/>
        </w:rPr>
      </w:pPr>
      <w:r w:rsidRPr="00977862">
        <w:rPr>
          <w:rFonts w:ascii="华文仿宋" w:eastAsia="华文仿宋" w:hAnsi="华文仿宋" w:hint="eastAsia"/>
          <w:sz w:val="30"/>
          <w:szCs w:val="30"/>
        </w:rPr>
        <w:t>2018年人社局支出决算总额为18133769.26元，其中：一般公共服务支出3357002.02元，社会保障和就业支出4059134.96元，医疗卫生与计划生育支出5355741元、农林水支出2768050元，住房保障支出321854，其他支出2251987.58元，年末结转和结余为2383407.36</w:t>
      </w:r>
      <w:r w:rsidR="00640A25">
        <w:rPr>
          <w:rFonts w:ascii="华文仿宋" w:eastAsia="华文仿宋" w:hAnsi="华文仿宋" w:hint="eastAsia"/>
          <w:sz w:val="30"/>
          <w:szCs w:val="30"/>
        </w:rPr>
        <w:t>元</w:t>
      </w:r>
      <w:r w:rsidRPr="00977862">
        <w:rPr>
          <w:rFonts w:ascii="华文仿宋" w:eastAsia="华文仿宋" w:hAnsi="华文仿宋" w:hint="eastAsia"/>
          <w:sz w:val="30"/>
          <w:szCs w:val="30"/>
        </w:rPr>
        <w:t>。</w:t>
      </w:r>
    </w:p>
    <w:p w:rsidR="003637A8" w:rsidRDefault="003637A8" w:rsidP="003637A8">
      <w:pPr>
        <w:widowControl/>
        <w:ind w:firstLine="640"/>
        <w:rPr>
          <w:b/>
          <w:bCs/>
          <w:kern w:val="0"/>
          <w:szCs w:val="32"/>
        </w:rPr>
      </w:pPr>
      <w:r w:rsidRPr="004C6008">
        <w:rPr>
          <w:rFonts w:hint="eastAsia"/>
          <w:bCs/>
          <w:kern w:val="0"/>
          <w:szCs w:val="32"/>
        </w:rPr>
        <w:t>（三）财政拨款支出决算具体情况。</w:t>
      </w:r>
    </w:p>
    <w:p w:rsidR="009F2A9D" w:rsidRDefault="009F2A9D" w:rsidP="009F2A9D">
      <w:pPr>
        <w:widowControl/>
        <w:ind w:firstLine="600"/>
        <w:rPr>
          <w:rFonts w:ascii="华文仿宋" w:eastAsia="华文仿宋" w:hAnsi="华文仿宋"/>
          <w:sz w:val="30"/>
          <w:szCs w:val="30"/>
        </w:rPr>
      </w:pPr>
      <w:r w:rsidRPr="009F2A9D">
        <w:rPr>
          <w:rFonts w:ascii="华文仿宋" w:eastAsia="华文仿宋" w:hAnsi="华文仿宋" w:hint="eastAsia"/>
          <w:sz w:val="30"/>
          <w:szCs w:val="30"/>
        </w:rPr>
        <w:lastRenderedPageBreak/>
        <w:t>本年度基本支出18133769.26元，较上年的</w:t>
      </w:r>
      <w:r w:rsidRPr="009F2A9D">
        <w:rPr>
          <w:rFonts w:ascii="华文仿宋" w:eastAsia="华文仿宋" w:hAnsi="华文仿宋"/>
          <w:sz w:val="30"/>
          <w:szCs w:val="30"/>
        </w:rPr>
        <w:t>13160437.98</w:t>
      </w:r>
      <w:r w:rsidRPr="009F2A9D">
        <w:rPr>
          <w:rFonts w:ascii="华文仿宋" w:eastAsia="华文仿宋" w:hAnsi="华文仿宋" w:hint="eastAsia"/>
          <w:sz w:val="30"/>
          <w:szCs w:val="30"/>
        </w:rPr>
        <w:t>元增加了38%，支出增加原因是本年按政府要求将原独立核算的二级机构并入机关，人员工资的调标。全年支出主要是用于局机关及各下设机构正常运转的日常支出以及中心工作：如扶贫、为民办实事考核等，包括基本工资、津贴补贴等人员经费以及办公费、印刷费、水电费、办公设备购置等日常公用经费，以及为完成特定的行政工作任务或事业发展目标，用于专项业务工作的经费支出，主要是信息网络建设及软件购置、全县行政事业单位内网建设维护费，无项目支出。</w:t>
      </w:r>
    </w:p>
    <w:p w:rsidR="003637A8" w:rsidRDefault="003637A8" w:rsidP="009F2A9D">
      <w:pPr>
        <w:widowControl/>
        <w:ind w:firstLine="640"/>
        <w:rPr>
          <w:kern w:val="0"/>
          <w:szCs w:val="32"/>
        </w:rPr>
      </w:pPr>
      <w:r w:rsidRPr="009F2A9D">
        <w:rPr>
          <w:rFonts w:hint="eastAsia"/>
          <w:kern w:val="0"/>
          <w:szCs w:val="32"/>
        </w:rPr>
        <w:t>六、一般公共预算财政拨款基本支出决算情况说明</w:t>
      </w:r>
    </w:p>
    <w:p w:rsidR="00BD4A6F" w:rsidRPr="00BD4A6F" w:rsidRDefault="00BD4A6F" w:rsidP="00BD4A6F">
      <w:pPr>
        <w:widowControl/>
        <w:ind w:firstLine="600"/>
        <w:rPr>
          <w:rFonts w:ascii="华文仿宋" w:eastAsia="华文仿宋" w:hAnsi="华文仿宋"/>
          <w:sz w:val="30"/>
          <w:szCs w:val="30"/>
        </w:rPr>
      </w:pPr>
      <w:r w:rsidRPr="00BD4A6F">
        <w:rPr>
          <w:rFonts w:ascii="华文仿宋" w:eastAsia="华文仿宋" w:hAnsi="华文仿宋" w:hint="eastAsia"/>
          <w:sz w:val="30"/>
          <w:szCs w:val="30"/>
        </w:rPr>
        <w:t>2018年一般公共预算财政拨款基本支出</w:t>
      </w:r>
      <w:r w:rsidRPr="00BD4A6F">
        <w:rPr>
          <w:rFonts w:ascii="华文仿宋" w:eastAsia="华文仿宋" w:hAnsi="华文仿宋"/>
          <w:sz w:val="30"/>
          <w:szCs w:val="30"/>
        </w:rPr>
        <w:t>15861781.98</w:t>
      </w:r>
      <w:r>
        <w:rPr>
          <w:rFonts w:ascii="华文仿宋" w:eastAsia="华文仿宋" w:hAnsi="华文仿宋" w:hint="eastAsia"/>
          <w:sz w:val="30"/>
          <w:szCs w:val="30"/>
        </w:rPr>
        <w:t>元，其中人员经费</w:t>
      </w:r>
      <w:r w:rsidRPr="00BD4A6F">
        <w:rPr>
          <w:rFonts w:ascii="华文仿宋" w:eastAsia="华文仿宋" w:hAnsi="华文仿宋"/>
          <w:sz w:val="30"/>
          <w:szCs w:val="30"/>
        </w:rPr>
        <w:t>11649968.6</w:t>
      </w:r>
      <w:r>
        <w:rPr>
          <w:rFonts w:ascii="华文仿宋" w:eastAsia="华文仿宋" w:hAnsi="华文仿宋" w:hint="eastAsia"/>
          <w:sz w:val="30"/>
          <w:szCs w:val="30"/>
        </w:rPr>
        <w:t>元，一般</w:t>
      </w:r>
      <w:r w:rsidRPr="00BD4A6F">
        <w:rPr>
          <w:rFonts w:ascii="华文仿宋" w:eastAsia="华文仿宋" w:hAnsi="华文仿宋" w:hint="eastAsia"/>
          <w:sz w:val="30"/>
          <w:szCs w:val="30"/>
        </w:rPr>
        <w:t>商品和服务支出</w:t>
      </w:r>
      <w:r>
        <w:rPr>
          <w:rFonts w:ascii="华文仿宋" w:eastAsia="华文仿宋" w:hAnsi="华文仿宋" w:hint="eastAsia"/>
          <w:sz w:val="30"/>
          <w:szCs w:val="30"/>
        </w:rPr>
        <w:t>1789743.37元，对企业补助2422070元。</w:t>
      </w:r>
    </w:p>
    <w:p w:rsidR="003637A8" w:rsidRPr="004C6008" w:rsidRDefault="003637A8" w:rsidP="003637A8">
      <w:pPr>
        <w:widowControl/>
        <w:ind w:firstLine="640"/>
        <w:rPr>
          <w:bCs/>
          <w:kern w:val="0"/>
          <w:szCs w:val="32"/>
        </w:rPr>
      </w:pPr>
      <w:r w:rsidRPr="004C6008">
        <w:rPr>
          <w:rFonts w:hint="eastAsia"/>
          <w:bCs/>
          <w:kern w:val="0"/>
          <w:szCs w:val="32"/>
        </w:rPr>
        <w:t>七、一般公共预算财政拨款</w:t>
      </w:r>
      <w:r w:rsidRPr="004C6008">
        <w:rPr>
          <w:bCs/>
          <w:kern w:val="0"/>
          <w:szCs w:val="32"/>
        </w:rPr>
        <w:t>“</w:t>
      </w:r>
      <w:r w:rsidRPr="004C6008">
        <w:rPr>
          <w:rFonts w:hint="eastAsia"/>
          <w:bCs/>
          <w:kern w:val="0"/>
          <w:szCs w:val="32"/>
        </w:rPr>
        <w:t>三公</w:t>
      </w:r>
      <w:r w:rsidRPr="004C6008">
        <w:rPr>
          <w:bCs/>
          <w:kern w:val="0"/>
          <w:szCs w:val="32"/>
        </w:rPr>
        <w:t>”</w:t>
      </w:r>
      <w:r w:rsidRPr="004C6008">
        <w:rPr>
          <w:rFonts w:hint="eastAsia"/>
          <w:bCs/>
          <w:kern w:val="0"/>
          <w:szCs w:val="32"/>
        </w:rPr>
        <w:t>经费支出决算情况说明</w:t>
      </w:r>
    </w:p>
    <w:p w:rsidR="003637A8" w:rsidRPr="004C6008" w:rsidRDefault="003637A8" w:rsidP="003637A8">
      <w:pPr>
        <w:widowControl/>
        <w:ind w:firstLine="640"/>
        <w:rPr>
          <w:bCs/>
          <w:kern w:val="0"/>
          <w:szCs w:val="32"/>
        </w:rPr>
      </w:pPr>
      <w:r w:rsidRPr="004C6008">
        <w:rPr>
          <w:rFonts w:hint="eastAsia"/>
          <w:bCs/>
          <w:kern w:val="0"/>
          <w:szCs w:val="32"/>
        </w:rPr>
        <w:t>（一）</w:t>
      </w:r>
      <w:r w:rsidRPr="004C6008">
        <w:rPr>
          <w:bCs/>
          <w:kern w:val="0"/>
          <w:szCs w:val="32"/>
        </w:rPr>
        <w:t>“</w:t>
      </w:r>
      <w:r w:rsidRPr="004C6008">
        <w:rPr>
          <w:rFonts w:hint="eastAsia"/>
          <w:bCs/>
          <w:kern w:val="0"/>
          <w:szCs w:val="32"/>
        </w:rPr>
        <w:t>三公</w:t>
      </w:r>
      <w:r w:rsidRPr="004C6008">
        <w:rPr>
          <w:bCs/>
          <w:kern w:val="0"/>
          <w:szCs w:val="32"/>
        </w:rPr>
        <w:t>”</w:t>
      </w:r>
      <w:r w:rsidRPr="004C6008">
        <w:rPr>
          <w:rFonts w:hint="eastAsia"/>
          <w:bCs/>
          <w:kern w:val="0"/>
          <w:szCs w:val="32"/>
        </w:rPr>
        <w:t>经费财政拨款支出决算总体情况说明。</w:t>
      </w:r>
    </w:p>
    <w:p w:rsidR="003637A8" w:rsidRPr="004C6008" w:rsidRDefault="00364561" w:rsidP="00364561">
      <w:pPr>
        <w:widowControl/>
        <w:ind w:firstLineChars="400" w:firstLine="1200"/>
        <w:rPr>
          <w:bCs/>
          <w:kern w:val="0"/>
          <w:szCs w:val="32"/>
        </w:rPr>
      </w:pPr>
      <w:r w:rsidRPr="00364561">
        <w:rPr>
          <w:rFonts w:ascii="华文仿宋" w:eastAsia="华文仿宋" w:hAnsi="华文仿宋" w:hint="eastAsia"/>
          <w:sz w:val="30"/>
          <w:szCs w:val="30"/>
        </w:rPr>
        <w:t>2018年度“三公”经费合计支出31280元</w:t>
      </w:r>
      <w:r>
        <w:rPr>
          <w:rFonts w:ascii="华文仿宋" w:eastAsia="华文仿宋" w:hAnsi="华文仿宋" w:hint="eastAsia"/>
          <w:sz w:val="30"/>
          <w:szCs w:val="30"/>
        </w:rPr>
        <w:t>，</w:t>
      </w:r>
      <w:r w:rsidRPr="00364561">
        <w:rPr>
          <w:rFonts w:ascii="华文仿宋" w:eastAsia="华文仿宋" w:hAnsi="华文仿宋" w:hint="eastAsia"/>
          <w:sz w:val="30"/>
          <w:szCs w:val="30"/>
        </w:rPr>
        <w:t>与2017年262549.77相比，减少193751.89元，减少的主要原因公务用车公车公司2辆车费用</w:t>
      </w:r>
      <w:r>
        <w:rPr>
          <w:rFonts w:ascii="华文仿宋" w:eastAsia="华文仿宋" w:hAnsi="华文仿宋" w:hint="eastAsia"/>
          <w:sz w:val="30"/>
          <w:szCs w:val="30"/>
        </w:rPr>
        <w:t>。与年初预算220000元差别主要是因为接待政策发生变化。</w:t>
      </w:r>
    </w:p>
    <w:p w:rsidR="003637A8" w:rsidRPr="004C6008" w:rsidRDefault="003637A8" w:rsidP="00364561">
      <w:pPr>
        <w:widowControl/>
        <w:spacing w:line="520" w:lineRule="exact"/>
        <w:ind w:firstLineChars="250" w:firstLine="800"/>
        <w:rPr>
          <w:bCs/>
          <w:kern w:val="0"/>
          <w:szCs w:val="32"/>
        </w:rPr>
      </w:pPr>
      <w:r w:rsidRPr="004C6008">
        <w:rPr>
          <w:rFonts w:hint="eastAsia"/>
          <w:bCs/>
          <w:kern w:val="0"/>
          <w:szCs w:val="32"/>
        </w:rPr>
        <w:t>（二）</w:t>
      </w:r>
      <w:r w:rsidRPr="004C6008">
        <w:rPr>
          <w:bCs/>
          <w:kern w:val="0"/>
          <w:szCs w:val="32"/>
        </w:rPr>
        <w:t>“</w:t>
      </w:r>
      <w:r w:rsidRPr="004C6008">
        <w:rPr>
          <w:rFonts w:hint="eastAsia"/>
          <w:bCs/>
          <w:kern w:val="0"/>
          <w:szCs w:val="32"/>
        </w:rPr>
        <w:t>三公</w:t>
      </w:r>
      <w:r w:rsidRPr="004C6008">
        <w:rPr>
          <w:bCs/>
          <w:kern w:val="0"/>
          <w:szCs w:val="32"/>
        </w:rPr>
        <w:t>”</w:t>
      </w:r>
      <w:r w:rsidRPr="004C6008">
        <w:rPr>
          <w:rFonts w:hint="eastAsia"/>
          <w:bCs/>
          <w:kern w:val="0"/>
          <w:szCs w:val="32"/>
        </w:rPr>
        <w:t>经费财政拨款支出决算具体情况说明。</w:t>
      </w:r>
    </w:p>
    <w:p w:rsidR="00364561" w:rsidRDefault="00364561" w:rsidP="00364561">
      <w:pPr>
        <w:widowControl/>
        <w:spacing w:line="520" w:lineRule="exact"/>
        <w:ind w:firstLine="600"/>
        <w:rPr>
          <w:rFonts w:ascii="华文仿宋" w:eastAsia="华文仿宋" w:hAnsi="华文仿宋"/>
          <w:sz w:val="30"/>
          <w:szCs w:val="30"/>
        </w:rPr>
      </w:pPr>
      <w:r w:rsidRPr="00364561">
        <w:rPr>
          <w:rFonts w:ascii="华文仿宋" w:eastAsia="华文仿宋" w:hAnsi="华文仿宋" w:hint="eastAsia"/>
          <w:sz w:val="30"/>
          <w:szCs w:val="30"/>
        </w:rPr>
        <w:t>2018年度“三公”经费合计支出31280元，其中公务用车运行维护费19860元，在用公务用车1辆，主要用于公务用车运行</w:t>
      </w:r>
      <w:r w:rsidRPr="00364561">
        <w:rPr>
          <w:rFonts w:ascii="华文仿宋" w:eastAsia="华文仿宋" w:hAnsi="华文仿宋" w:hint="eastAsia"/>
          <w:sz w:val="30"/>
          <w:szCs w:val="30"/>
        </w:rPr>
        <w:lastRenderedPageBreak/>
        <w:t>费用与加油，公务接待费11420元（接待批次20次，人数280人）。三公经费与2017年262549.77相比，减少193751.89元，减少的主要原因公务用车公车公司2辆车费用列，严格按中央“八项规定”和接待文件规定执行公务接待。</w:t>
      </w:r>
    </w:p>
    <w:p w:rsidR="003637A8" w:rsidRPr="00364561" w:rsidRDefault="003637A8" w:rsidP="00364561">
      <w:pPr>
        <w:widowControl/>
        <w:spacing w:line="520" w:lineRule="exact"/>
        <w:ind w:firstLine="640"/>
        <w:rPr>
          <w:bCs/>
          <w:kern w:val="0"/>
          <w:szCs w:val="32"/>
        </w:rPr>
      </w:pPr>
      <w:r w:rsidRPr="00364561">
        <w:rPr>
          <w:rFonts w:hint="eastAsia"/>
          <w:bCs/>
          <w:kern w:val="0"/>
          <w:szCs w:val="32"/>
        </w:rPr>
        <w:t>八、政府性基金预算收入支出决算情况</w:t>
      </w:r>
      <w:r w:rsidR="00464620" w:rsidRPr="00364561">
        <w:rPr>
          <w:rFonts w:hint="eastAsia"/>
          <w:bCs/>
          <w:kern w:val="0"/>
          <w:szCs w:val="32"/>
        </w:rPr>
        <w:t>说明</w:t>
      </w:r>
    </w:p>
    <w:p w:rsidR="003637A8" w:rsidRPr="00364561" w:rsidRDefault="003637A8" w:rsidP="00364561">
      <w:pPr>
        <w:widowControl/>
        <w:spacing w:line="520" w:lineRule="exact"/>
        <w:ind w:firstLine="600"/>
        <w:rPr>
          <w:rFonts w:ascii="华文仿宋" w:eastAsia="华文仿宋" w:hAnsi="华文仿宋"/>
          <w:sz w:val="30"/>
          <w:szCs w:val="30"/>
        </w:rPr>
      </w:pPr>
      <w:r w:rsidRPr="00364561">
        <w:rPr>
          <w:rFonts w:ascii="华文仿宋" w:eastAsia="华文仿宋" w:hAnsi="华文仿宋" w:hint="eastAsia"/>
          <w:sz w:val="30"/>
          <w:szCs w:val="30"/>
        </w:rPr>
        <w:t>本单位无政府性基金收支</w:t>
      </w:r>
      <w:r w:rsidR="00364561">
        <w:rPr>
          <w:rFonts w:ascii="华文仿宋" w:eastAsia="华文仿宋" w:hAnsi="华文仿宋" w:hint="eastAsia"/>
          <w:sz w:val="30"/>
          <w:szCs w:val="30"/>
        </w:rPr>
        <w:t>。</w:t>
      </w:r>
    </w:p>
    <w:p w:rsidR="003637A8" w:rsidRDefault="003637A8" w:rsidP="00364561">
      <w:pPr>
        <w:widowControl/>
        <w:spacing w:line="520" w:lineRule="exact"/>
        <w:ind w:firstLine="640"/>
        <w:rPr>
          <w:kern w:val="0"/>
          <w:szCs w:val="32"/>
        </w:rPr>
      </w:pPr>
      <w:r w:rsidRPr="004C6008">
        <w:rPr>
          <w:rFonts w:hint="eastAsia"/>
          <w:kern w:val="0"/>
          <w:szCs w:val="32"/>
        </w:rPr>
        <w:t>九、预算绩效情况说明</w:t>
      </w:r>
    </w:p>
    <w:p w:rsidR="00364561" w:rsidRDefault="00364561" w:rsidP="00364561">
      <w:pPr>
        <w:spacing w:line="520" w:lineRule="exact"/>
        <w:ind w:firstLine="600"/>
        <w:rPr>
          <w:rFonts w:ascii="华文仿宋" w:eastAsia="华文仿宋" w:hAnsi="华文仿宋"/>
          <w:sz w:val="30"/>
          <w:szCs w:val="30"/>
        </w:rPr>
      </w:pPr>
      <w:r>
        <w:rPr>
          <w:rFonts w:ascii="华文仿宋" w:eastAsia="华文仿宋" w:hAnsi="华文仿宋" w:hint="eastAsia"/>
          <w:sz w:val="30"/>
          <w:szCs w:val="30"/>
        </w:rPr>
        <w:t>本年度我局</w:t>
      </w:r>
      <w:r w:rsidR="00640A25" w:rsidRPr="00364561">
        <w:rPr>
          <w:rFonts w:ascii="华文仿宋" w:eastAsia="华文仿宋" w:hAnsi="华文仿宋" w:hint="eastAsia"/>
          <w:sz w:val="30"/>
          <w:szCs w:val="30"/>
        </w:rPr>
        <w:t>严格按中央“八项规定”</w:t>
      </w:r>
      <w:r w:rsidR="00640A25">
        <w:rPr>
          <w:rFonts w:ascii="华文仿宋" w:eastAsia="华文仿宋" w:hAnsi="华文仿宋" w:hint="eastAsia"/>
          <w:sz w:val="30"/>
          <w:szCs w:val="30"/>
        </w:rPr>
        <w:t>，厉行节约，严控开支，</w:t>
      </w:r>
      <w:r w:rsidR="00640A25" w:rsidRPr="00977862">
        <w:rPr>
          <w:rFonts w:ascii="华文仿宋" w:eastAsia="华文仿宋" w:hAnsi="华文仿宋" w:hint="eastAsia"/>
          <w:sz w:val="30"/>
          <w:szCs w:val="30"/>
        </w:rPr>
        <w:t>年末结转和结余为2383407.36</w:t>
      </w:r>
      <w:r w:rsidR="00640A25">
        <w:rPr>
          <w:rFonts w:ascii="华文仿宋" w:eastAsia="华文仿宋" w:hAnsi="华文仿宋" w:hint="eastAsia"/>
          <w:sz w:val="30"/>
          <w:szCs w:val="30"/>
        </w:rPr>
        <w:t>元</w:t>
      </w:r>
      <w:r w:rsidR="00640A25" w:rsidRPr="00977862">
        <w:rPr>
          <w:rFonts w:ascii="华文仿宋" w:eastAsia="华文仿宋" w:hAnsi="华文仿宋" w:hint="eastAsia"/>
          <w:sz w:val="30"/>
          <w:szCs w:val="30"/>
        </w:rPr>
        <w:t>。</w:t>
      </w:r>
      <w:r w:rsidR="00640A25">
        <w:rPr>
          <w:rFonts w:ascii="华文仿宋" w:eastAsia="华文仿宋" w:hAnsi="华文仿宋" w:hint="eastAsia"/>
          <w:sz w:val="30"/>
          <w:szCs w:val="30"/>
        </w:rPr>
        <w:t>并</w:t>
      </w:r>
      <w:r>
        <w:rPr>
          <w:rFonts w:ascii="华文仿宋" w:eastAsia="华文仿宋" w:hAnsi="华文仿宋" w:hint="eastAsia"/>
          <w:sz w:val="30"/>
          <w:szCs w:val="30"/>
        </w:rPr>
        <w:t>完成了</w:t>
      </w:r>
      <w:r w:rsidRPr="00364561">
        <w:rPr>
          <w:rFonts w:ascii="华文仿宋" w:eastAsia="华文仿宋" w:hAnsi="华文仿宋" w:hint="eastAsia"/>
          <w:sz w:val="30"/>
          <w:szCs w:val="30"/>
        </w:rPr>
        <w:t>全部或超额完成市局下达的任务指标：</w:t>
      </w:r>
    </w:p>
    <w:p w:rsidR="00640A25" w:rsidRDefault="00640A25" w:rsidP="00640A25">
      <w:pPr>
        <w:spacing w:line="520" w:lineRule="exact"/>
        <w:ind w:firstLine="600"/>
        <w:rPr>
          <w:rFonts w:ascii="华文仿宋" w:eastAsia="华文仿宋" w:hAnsi="华文仿宋"/>
          <w:sz w:val="30"/>
          <w:szCs w:val="30"/>
        </w:rPr>
      </w:pPr>
      <w:r w:rsidRPr="00640A25">
        <w:rPr>
          <w:rFonts w:ascii="华文仿宋" w:eastAsia="华文仿宋" w:hAnsi="华文仿宋" w:hint="eastAsia"/>
          <w:sz w:val="30"/>
          <w:szCs w:val="30"/>
        </w:rPr>
        <w:t>1、积极培育市场主体，举办创业培训班21期，培训329人；加大创业担保贴息贷款支持力度，共为186名创业者发放创业担保贷款1823万元；</w:t>
      </w:r>
      <w:r w:rsidRPr="00640A25">
        <w:rPr>
          <w:rFonts w:ascii="华文仿宋" w:eastAsia="华文仿宋" w:hAnsi="华文仿宋"/>
          <w:sz w:val="30"/>
          <w:szCs w:val="30"/>
        </w:rPr>
        <w:t>扶持高校毕业生微创业</w:t>
      </w:r>
      <w:r w:rsidRPr="00640A25">
        <w:rPr>
          <w:rFonts w:ascii="华文仿宋" w:eastAsia="华文仿宋" w:hAnsi="华文仿宋" w:hint="eastAsia"/>
          <w:sz w:val="30"/>
          <w:szCs w:val="30"/>
        </w:rPr>
        <w:t>11</w:t>
      </w:r>
      <w:r w:rsidRPr="00640A25">
        <w:rPr>
          <w:rFonts w:ascii="华文仿宋" w:eastAsia="华文仿宋" w:hAnsi="华文仿宋"/>
          <w:sz w:val="30"/>
          <w:szCs w:val="30"/>
        </w:rPr>
        <w:t>人</w:t>
      </w:r>
      <w:r w:rsidR="00E92334">
        <w:rPr>
          <w:rFonts w:ascii="华文仿宋" w:eastAsia="华文仿宋" w:hAnsi="华文仿宋" w:hint="eastAsia"/>
          <w:sz w:val="30"/>
          <w:szCs w:val="30"/>
        </w:rPr>
        <w:t>。</w:t>
      </w:r>
    </w:p>
    <w:p w:rsidR="00640A25" w:rsidRDefault="00640A25" w:rsidP="00640A25">
      <w:pPr>
        <w:spacing w:line="520" w:lineRule="exact"/>
        <w:ind w:firstLine="600"/>
        <w:rPr>
          <w:rFonts w:ascii="华文仿宋" w:eastAsia="华文仿宋" w:hAnsi="华文仿宋"/>
          <w:sz w:val="30"/>
          <w:szCs w:val="30"/>
        </w:rPr>
      </w:pPr>
      <w:r>
        <w:rPr>
          <w:rFonts w:ascii="华文仿宋" w:eastAsia="华文仿宋" w:hAnsi="华文仿宋" w:hint="eastAsia"/>
          <w:sz w:val="30"/>
          <w:szCs w:val="30"/>
        </w:rPr>
        <w:t>2、</w:t>
      </w:r>
      <w:r w:rsidR="00E92334" w:rsidRPr="00E92334">
        <w:rPr>
          <w:rFonts w:ascii="华文仿宋" w:eastAsia="华文仿宋" w:hAnsi="华文仿宋" w:hint="eastAsia"/>
          <w:sz w:val="30"/>
          <w:szCs w:val="30"/>
        </w:rPr>
        <w:t>企业养老保险新增参保208人，机关事业养老保险参保7712人，城乡居民养老保险参保9.41万人，工伤保险参保1.06万人，失业保险参保1.37万人，五项社会保险累计征缴基金6579万元；为3.7万人次支付社保待遇1.4亿元；基金运行“零事故”。严格执行基金内控监督制度和监督领导责任制度，落实一事双岗双审，抓好基金安全教育，开展基金安全检查，各项基金规范安全完整运</w:t>
      </w:r>
      <w:r w:rsidR="00E92334">
        <w:rPr>
          <w:rFonts w:ascii="华文仿宋" w:eastAsia="华文仿宋" w:hAnsi="华文仿宋" w:hint="eastAsia"/>
          <w:sz w:val="30"/>
          <w:szCs w:val="30"/>
        </w:rPr>
        <w:t>行。</w:t>
      </w:r>
    </w:p>
    <w:p w:rsidR="00640A25" w:rsidRDefault="00640A25" w:rsidP="00640A25">
      <w:pPr>
        <w:spacing w:line="520" w:lineRule="exact"/>
        <w:ind w:firstLine="600"/>
        <w:rPr>
          <w:rFonts w:ascii="华文仿宋" w:eastAsia="华文仿宋" w:hAnsi="华文仿宋"/>
          <w:sz w:val="30"/>
          <w:szCs w:val="30"/>
        </w:rPr>
      </w:pPr>
      <w:r>
        <w:rPr>
          <w:rFonts w:ascii="华文仿宋" w:eastAsia="华文仿宋" w:hAnsi="华文仿宋" w:hint="eastAsia"/>
          <w:sz w:val="30"/>
          <w:szCs w:val="30"/>
        </w:rPr>
        <w:t>3、</w:t>
      </w:r>
      <w:r w:rsidRPr="00640A25">
        <w:rPr>
          <w:rFonts w:ascii="华文仿宋" w:eastAsia="华文仿宋" w:hAnsi="华文仿宋" w:hint="eastAsia"/>
          <w:sz w:val="30"/>
          <w:szCs w:val="30"/>
        </w:rPr>
        <w:t>按做好“产业项目建设年”科技创新人才引进，已为企业引进科技创新人才8人，完成市下达年任务的114%。</w:t>
      </w:r>
    </w:p>
    <w:p w:rsidR="00640A25" w:rsidRPr="00364561" w:rsidRDefault="00E92334" w:rsidP="00E92334">
      <w:pPr>
        <w:spacing w:line="520" w:lineRule="exact"/>
        <w:ind w:firstLine="600"/>
        <w:rPr>
          <w:rFonts w:ascii="华文仿宋" w:eastAsia="华文仿宋" w:hAnsi="华文仿宋"/>
          <w:sz w:val="30"/>
          <w:szCs w:val="30"/>
        </w:rPr>
      </w:pPr>
      <w:r w:rsidRPr="00E92334">
        <w:rPr>
          <w:rFonts w:ascii="华文仿宋" w:eastAsia="华文仿宋" w:hAnsi="华文仿宋" w:hint="eastAsia"/>
          <w:sz w:val="30"/>
          <w:szCs w:val="30"/>
        </w:rPr>
        <w:t>4、</w:t>
      </w:r>
      <w:r w:rsidR="00640A25" w:rsidRPr="00E92334">
        <w:rPr>
          <w:rFonts w:ascii="华文仿宋" w:eastAsia="华文仿宋" w:hAnsi="华文仿宋" w:hint="eastAsia"/>
          <w:sz w:val="30"/>
          <w:szCs w:val="30"/>
        </w:rPr>
        <w:t>取得多项荣誉：</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2018年度株洲市人力资源和社会保障行政许可优秀案卷名单；</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2018年度城乡居保经办管理服务工作优秀单位；</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2018年度就业宣传工作先进集体（全国）。2018年度安全生产工作目标管理先进单位；</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2018年度综治工作先进单位；</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lastRenderedPageBreak/>
        <w:t>2018年全县办公室工作先进单位；</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2018年度全县组织工作先进单位；</w:t>
      </w:r>
      <w:r w:rsidRPr="00E92334">
        <w:rPr>
          <w:rFonts w:ascii="华文仿宋" w:eastAsia="华文仿宋" w:hAnsi="华文仿宋" w:hint="eastAsia"/>
          <w:sz w:val="30"/>
          <w:szCs w:val="30"/>
        </w:rPr>
        <w:t xml:space="preserve"> </w:t>
      </w:r>
      <w:r w:rsidR="00640A25" w:rsidRPr="00E92334">
        <w:rPr>
          <w:rFonts w:ascii="华文仿宋" w:eastAsia="华文仿宋" w:hAnsi="华文仿宋" w:hint="eastAsia"/>
          <w:sz w:val="30"/>
          <w:szCs w:val="30"/>
        </w:rPr>
        <w:t>2018年县直部门人口和计划生育综合治理模范单位；⑩2018年基层党建工作二类考核第五名。</w:t>
      </w:r>
    </w:p>
    <w:p w:rsidR="003637A8" w:rsidRPr="00E92334" w:rsidRDefault="003637A8" w:rsidP="00E92334">
      <w:pPr>
        <w:widowControl/>
        <w:spacing w:line="520" w:lineRule="exact"/>
        <w:ind w:firstLine="600"/>
        <w:rPr>
          <w:rFonts w:ascii="华文仿宋" w:eastAsia="华文仿宋" w:hAnsi="华文仿宋"/>
          <w:sz w:val="30"/>
          <w:szCs w:val="30"/>
        </w:rPr>
      </w:pPr>
      <w:r w:rsidRPr="00E92334">
        <w:rPr>
          <w:rFonts w:ascii="华文仿宋" w:eastAsia="华文仿宋" w:hAnsi="华文仿宋" w:hint="eastAsia"/>
          <w:sz w:val="30"/>
          <w:szCs w:val="30"/>
        </w:rPr>
        <w:t>十、其他重要事项</w:t>
      </w:r>
      <w:r w:rsidR="00464620" w:rsidRPr="00E92334">
        <w:rPr>
          <w:rFonts w:ascii="华文仿宋" w:eastAsia="华文仿宋" w:hAnsi="华文仿宋" w:hint="eastAsia"/>
          <w:sz w:val="30"/>
          <w:szCs w:val="30"/>
        </w:rPr>
        <w:t>情况说明</w:t>
      </w:r>
    </w:p>
    <w:p w:rsidR="00364561" w:rsidRPr="00E92334" w:rsidRDefault="003637A8" w:rsidP="00E92334">
      <w:pPr>
        <w:autoSpaceDE w:val="0"/>
        <w:autoSpaceDN w:val="0"/>
        <w:adjustRightInd w:val="0"/>
        <w:spacing w:line="520" w:lineRule="exact"/>
        <w:ind w:firstLine="600"/>
        <w:rPr>
          <w:rFonts w:ascii="华文仿宋" w:eastAsia="华文仿宋" w:hAnsi="华文仿宋"/>
          <w:sz w:val="30"/>
          <w:szCs w:val="30"/>
        </w:rPr>
      </w:pPr>
      <w:r w:rsidRPr="00E92334">
        <w:rPr>
          <w:rFonts w:ascii="华文仿宋" w:eastAsia="华文仿宋" w:hAnsi="华文仿宋" w:hint="eastAsia"/>
          <w:sz w:val="30"/>
          <w:szCs w:val="30"/>
        </w:rPr>
        <w:t>（一）机关运行经费支出情况。</w:t>
      </w:r>
    </w:p>
    <w:p w:rsidR="00364561" w:rsidRPr="00364561" w:rsidRDefault="00364561" w:rsidP="00364561">
      <w:pPr>
        <w:widowControl/>
        <w:ind w:firstLineChars="196" w:firstLine="588"/>
        <w:jc w:val="left"/>
        <w:rPr>
          <w:rFonts w:ascii="华文仿宋" w:eastAsia="华文仿宋" w:hAnsi="华文仿宋"/>
          <w:sz w:val="30"/>
          <w:szCs w:val="30"/>
        </w:rPr>
      </w:pPr>
      <w:r w:rsidRPr="00364561">
        <w:rPr>
          <w:rFonts w:ascii="华文仿宋" w:eastAsia="华文仿宋" w:hAnsi="华文仿宋" w:hint="eastAsia"/>
          <w:sz w:val="30"/>
          <w:szCs w:val="30"/>
        </w:rPr>
        <w:t>2018年使用一般公共预算财政拨款安排的基本支出中，履行一般行政管理职能、维持机关日常运转而开支的机关运行经费合计5470721.37元，较上年的1556148.65元增加了3914572.72，增加的原因是一是代管资金支付培训教室修缮费294898元，其余为扶贫资金。全年严格按照了厉行节约、缩减办公费用的规定执行。</w:t>
      </w:r>
    </w:p>
    <w:p w:rsidR="00364561" w:rsidRDefault="003637A8" w:rsidP="003637A8">
      <w:pPr>
        <w:autoSpaceDE w:val="0"/>
        <w:autoSpaceDN w:val="0"/>
        <w:adjustRightInd w:val="0"/>
        <w:ind w:firstLine="640"/>
        <w:rPr>
          <w:kern w:val="0"/>
          <w:szCs w:val="32"/>
        </w:rPr>
      </w:pPr>
      <w:r w:rsidRPr="004C6008">
        <w:rPr>
          <w:rFonts w:hint="eastAsia"/>
          <w:kern w:val="0"/>
          <w:szCs w:val="32"/>
        </w:rPr>
        <w:t>（二）政府采购支出情况。</w:t>
      </w:r>
    </w:p>
    <w:p w:rsidR="00364561" w:rsidRPr="00364561" w:rsidRDefault="00364561" w:rsidP="00364561">
      <w:pPr>
        <w:widowControl/>
        <w:ind w:firstLineChars="196" w:firstLine="588"/>
        <w:jc w:val="left"/>
        <w:rPr>
          <w:rFonts w:ascii="华文仿宋" w:eastAsia="华文仿宋" w:hAnsi="华文仿宋"/>
          <w:sz w:val="30"/>
          <w:szCs w:val="30"/>
        </w:rPr>
      </w:pPr>
      <w:r w:rsidRPr="00364561">
        <w:rPr>
          <w:rFonts w:ascii="华文仿宋" w:eastAsia="华文仿宋" w:hAnsi="华文仿宋" w:hint="eastAsia"/>
          <w:sz w:val="30"/>
          <w:szCs w:val="30"/>
        </w:rPr>
        <w:t>2018年本部门政府采购 2 批次，支出总额63010元，系为政府采购货物支出；工程支出294898元为培训教室修缮工程款。</w:t>
      </w:r>
    </w:p>
    <w:p w:rsidR="00364561" w:rsidRDefault="003637A8" w:rsidP="003637A8">
      <w:pPr>
        <w:autoSpaceDE w:val="0"/>
        <w:autoSpaceDN w:val="0"/>
        <w:adjustRightInd w:val="0"/>
        <w:ind w:firstLineChars="250" w:firstLine="800"/>
        <w:rPr>
          <w:kern w:val="0"/>
          <w:szCs w:val="32"/>
        </w:rPr>
      </w:pPr>
      <w:r w:rsidRPr="004C6008">
        <w:rPr>
          <w:rFonts w:hint="eastAsia"/>
          <w:kern w:val="0"/>
          <w:szCs w:val="32"/>
        </w:rPr>
        <w:t>（三）国有资产占用情况。</w:t>
      </w:r>
    </w:p>
    <w:p w:rsidR="003637A8" w:rsidRPr="00364561" w:rsidRDefault="003637A8" w:rsidP="00364561">
      <w:pPr>
        <w:autoSpaceDE w:val="0"/>
        <w:autoSpaceDN w:val="0"/>
        <w:adjustRightInd w:val="0"/>
        <w:ind w:firstLineChars="250" w:firstLine="750"/>
        <w:rPr>
          <w:rFonts w:ascii="华文仿宋" w:eastAsia="华文仿宋" w:hAnsi="华文仿宋"/>
          <w:sz w:val="30"/>
          <w:szCs w:val="30"/>
        </w:rPr>
      </w:pPr>
      <w:r w:rsidRPr="00364561">
        <w:rPr>
          <w:rFonts w:ascii="华文仿宋" w:eastAsia="华文仿宋" w:hAnsi="华文仿宋" w:hint="eastAsia"/>
          <w:sz w:val="30"/>
          <w:szCs w:val="30"/>
        </w:rPr>
        <w:t>截至</w:t>
      </w:r>
      <w:r w:rsidRPr="00364561">
        <w:rPr>
          <w:rFonts w:ascii="华文仿宋" w:eastAsia="华文仿宋" w:hAnsi="华文仿宋"/>
          <w:sz w:val="30"/>
          <w:szCs w:val="30"/>
        </w:rPr>
        <w:t>2018</w:t>
      </w:r>
      <w:r w:rsidRPr="00364561">
        <w:rPr>
          <w:rFonts w:ascii="华文仿宋" w:eastAsia="华文仿宋" w:hAnsi="华文仿宋" w:hint="eastAsia"/>
          <w:sz w:val="30"/>
          <w:szCs w:val="30"/>
        </w:rPr>
        <w:t>年</w:t>
      </w:r>
      <w:r w:rsidRPr="00364561">
        <w:rPr>
          <w:rFonts w:ascii="华文仿宋" w:eastAsia="华文仿宋" w:hAnsi="华文仿宋"/>
          <w:sz w:val="30"/>
          <w:szCs w:val="30"/>
        </w:rPr>
        <w:t xml:space="preserve">12 </w:t>
      </w:r>
      <w:r w:rsidRPr="00364561">
        <w:rPr>
          <w:rFonts w:ascii="华文仿宋" w:eastAsia="华文仿宋" w:hAnsi="华文仿宋" w:hint="eastAsia"/>
          <w:sz w:val="30"/>
          <w:szCs w:val="30"/>
        </w:rPr>
        <w:t>月</w:t>
      </w:r>
      <w:r w:rsidRPr="00364561">
        <w:rPr>
          <w:rFonts w:ascii="华文仿宋" w:eastAsia="华文仿宋" w:hAnsi="华文仿宋"/>
          <w:sz w:val="30"/>
          <w:szCs w:val="30"/>
        </w:rPr>
        <w:t xml:space="preserve">31 </w:t>
      </w:r>
      <w:r w:rsidRPr="00364561">
        <w:rPr>
          <w:rFonts w:ascii="华文仿宋" w:eastAsia="华文仿宋" w:hAnsi="华文仿宋" w:hint="eastAsia"/>
          <w:sz w:val="30"/>
          <w:szCs w:val="30"/>
        </w:rPr>
        <w:t>日，本部门共有</w:t>
      </w:r>
      <w:r w:rsidR="00364561" w:rsidRPr="00364561">
        <w:rPr>
          <w:rFonts w:ascii="华文仿宋" w:eastAsia="华文仿宋" w:hAnsi="华文仿宋" w:hint="eastAsia"/>
          <w:sz w:val="30"/>
          <w:szCs w:val="30"/>
        </w:rPr>
        <w:t>保留</w:t>
      </w:r>
      <w:r w:rsidR="0044659E">
        <w:rPr>
          <w:rFonts w:ascii="华文仿宋" w:eastAsia="华文仿宋" w:hAnsi="华文仿宋" w:hint="eastAsia"/>
          <w:sz w:val="30"/>
          <w:szCs w:val="30"/>
        </w:rPr>
        <w:t>其他用车</w:t>
      </w:r>
      <w:r w:rsidR="00364561" w:rsidRPr="00364561">
        <w:rPr>
          <w:rFonts w:ascii="华文仿宋" w:eastAsia="华文仿宋" w:hAnsi="华文仿宋" w:hint="eastAsia"/>
          <w:sz w:val="30"/>
          <w:szCs w:val="30"/>
        </w:rPr>
        <w:t>1</w:t>
      </w:r>
      <w:r w:rsidRPr="00364561">
        <w:rPr>
          <w:rFonts w:ascii="华文仿宋" w:eastAsia="华文仿宋" w:hAnsi="华文仿宋"/>
          <w:sz w:val="30"/>
          <w:szCs w:val="30"/>
        </w:rPr>
        <w:t xml:space="preserve"> </w:t>
      </w:r>
      <w:r w:rsidRPr="00364561">
        <w:rPr>
          <w:rFonts w:ascii="华文仿宋" w:eastAsia="华文仿宋" w:hAnsi="华文仿宋" w:hint="eastAsia"/>
          <w:sz w:val="30"/>
          <w:szCs w:val="30"/>
        </w:rPr>
        <w:t>辆，</w:t>
      </w:r>
      <w:r w:rsidR="0044659E">
        <w:rPr>
          <w:rFonts w:ascii="华文仿宋" w:eastAsia="华文仿宋" w:hAnsi="华文仿宋" w:hint="eastAsia"/>
          <w:sz w:val="30"/>
          <w:szCs w:val="30"/>
        </w:rPr>
        <w:t>无</w:t>
      </w:r>
      <w:r w:rsidR="00415A00" w:rsidRPr="00364561">
        <w:rPr>
          <w:rFonts w:ascii="华文仿宋" w:eastAsia="华文仿宋" w:hAnsi="华文仿宋" w:hint="eastAsia"/>
          <w:sz w:val="30"/>
          <w:szCs w:val="30"/>
        </w:rPr>
        <w:t>单位价值50万元以上通用设备</w:t>
      </w:r>
      <w:r w:rsidR="0044659E">
        <w:rPr>
          <w:rFonts w:ascii="华文仿宋" w:eastAsia="华文仿宋" w:hAnsi="华文仿宋" w:hint="eastAsia"/>
          <w:sz w:val="30"/>
          <w:szCs w:val="30"/>
        </w:rPr>
        <w:t>，无</w:t>
      </w:r>
      <w:r w:rsidR="00415A00" w:rsidRPr="00364561">
        <w:rPr>
          <w:rFonts w:ascii="华文仿宋" w:eastAsia="华文仿宋" w:hAnsi="华文仿宋" w:hint="eastAsia"/>
          <w:sz w:val="30"/>
          <w:szCs w:val="30"/>
        </w:rPr>
        <w:t>单位价值100万元以上专用设备。</w:t>
      </w:r>
    </w:p>
    <w:p w:rsidR="003637A8" w:rsidRPr="004C6008" w:rsidRDefault="003637A8" w:rsidP="00E92334">
      <w:pPr>
        <w:widowControl/>
        <w:ind w:firstLineChars="0" w:firstLine="0"/>
        <w:jc w:val="center"/>
        <w:rPr>
          <w:rFonts w:ascii="仿宋_GB2312"/>
          <w:szCs w:val="32"/>
        </w:rPr>
      </w:pPr>
      <w:r w:rsidRPr="004C6008">
        <w:rPr>
          <w:rFonts w:eastAsia="黑体" w:hint="eastAsia"/>
          <w:bCs/>
          <w:kern w:val="0"/>
          <w:szCs w:val="32"/>
        </w:rPr>
        <w:t>第四部分</w:t>
      </w:r>
      <w:r w:rsidRPr="004C6008">
        <w:rPr>
          <w:rFonts w:eastAsia="黑体"/>
          <w:bCs/>
          <w:kern w:val="0"/>
          <w:szCs w:val="32"/>
        </w:rPr>
        <w:t xml:space="preserve">  </w:t>
      </w:r>
      <w:r w:rsidRPr="004C6008">
        <w:rPr>
          <w:rFonts w:eastAsia="黑体" w:hint="eastAsia"/>
          <w:bCs/>
          <w:kern w:val="0"/>
          <w:szCs w:val="32"/>
        </w:rPr>
        <w:t>名词解释</w:t>
      </w:r>
    </w:p>
    <w:p w:rsidR="003637A8" w:rsidRDefault="003637A8" w:rsidP="003637A8">
      <w:pPr>
        <w:widowControl/>
        <w:ind w:firstLine="640"/>
        <w:jc w:val="left"/>
        <w:rPr>
          <w:color w:val="000000"/>
          <w:szCs w:val="32"/>
        </w:rPr>
      </w:pPr>
      <w:r w:rsidRPr="003F5607">
        <w:rPr>
          <w:rFonts w:hint="eastAsia"/>
          <w:color w:val="000000"/>
          <w:szCs w:val="32"/>
        </w:rPr>
        <w:t>一、财政拨款收入：指单位从同级财政部门取得的财政预算资金。</w:t>
      </w:r>
    </w:p>
    <w:p w:rsidR="003637A8" w:rsidRPr="003F5607" w:rsidRDefault="003637A8" w:rsidP="003637A8">
      <w:pPr>
        <w:widowControl/>
        <w:ind w:firstLine="640"/>
        <w:jc w:val="left"/>
        <w:rPr>
          <w:color w:val="000000"/>
          <w:szCs w:val="32"/>
        </w:rPr>
      </w:pPr>
      <w:r w:rsidRPr="003F5607">
        <w:rPr>
          <w:rFonts w:hint="eastAsia"/>
          <w:color w:val="000000"/>
          <w:szCs w:val="32"/>
        </w:rPr>
        <w:t>二、事业收入：指事业单位开展专业业务活动及辅助活动取得的收入。</w:t>
      </w:r>
    </w:p>
    <w:p w:rsidR="003637A8" w:rsidRPr="003F5607" w:rsidRDefault="003637A8" w:rsidP="003637A8">
      <w:pPr>
        <w:widowControl/>
        <w:ind w:firstLine="640"/>
        <w:jc w:val="left"/>
        <w:rPr>
          <w:color w:val="000000"/>
          <w:szCs w:val="32"/>
        </w:rPr>
      </w:pPr>
      <w:r w:rsidRPr="003F5607">
        <w:rPr>
          <w:rFonts w:hint="eastAsia"/>
          <w:color w:val="000000"/>
          <w:szCs w:val="32"/>
        </w:rPr>
        <w:lastRenderedPageBreak/>
        <w:t>三、经营收入：指事业单位在专业业务活动及其辅助活动之外开展非独立核算经营活动取得的收入。</w:t>
      </w:r>
    </w:p>
    <w:p w:rsidR="003637A8" w:rsidRPr="003F5607" w:rsidRDefault="003637A8" w:rsidP="003637A8">
      <w:pPr>
        <w:widowControl/>
        <w:ind w:firstLine="640"/>
        <w:jc w:val="left"/>
        <w:rPr>
          <w:color w:val="000000"/>
          <w:szCs w:val="32"/>
        </w:rPr>
      </w:pPr>
      <w:r w:rsidRPr="003F5607">
        <w:rPr>
          <w:rFonts w:hint="eastAsia"/>
          <w:color w:val="000000"/>
          <w:szCs w:val="32"/>
        </w:rPr>
        <w:t>四、其他收入：指单位取得的除上述收入以外的各项收入。</w:t>
      </w:r>
    </w:p>
    <w:p w:rsidR="003637A8" w:rsidRPr="003F5607" w:rsidRDefault="003637A8" w:rsidP="003637A8">
      <w:pPr>
        <w:widowControl/>
        <w:ind w:firstLine="640"/>
        <w:jc w:val="left"/>
        <w:rPr>
          <w:color w:val="000000"/>
          <w:szCs w:val="32"/>
        </w:rPr>
      </w:pPr>
      <w:r w:rsidRPr="003F5607">
        <w:rPr>
          <w:rFonts w:hint="eastAsia"/>
          <w:color w:val="000000"/>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3637A8" w:rsidRDefault="003637A8" w:rsidP="003637A8">
      <w:pPr>
        <w:widowControl/>
        <w:ind w:firstLine="640"/>
        <w:jc w:val="left"/>
        <w:rPr>
          <w:color w:val="000000"/>
          <w:szCs w:val="32"/>
        </w:rPr>
      </w:pPr>
      <w:r w:rsidRPr="003F5607">
        <w:rPr>
          <w:rFonts w:hint="eastAsia"/>
          <w:color w:val="000000"/>
          <w:szCs w:val="32"/>
        </w:rPr>
        <w:t>六、年初结转和结余：指单位以前年度尚未完成、结转到本年按有关规定继续使用的资金。</w:t>
      </w:r>
    </w:p>
    <w:p w:rsidR="006B33C8" w:rsidRDefault="006B33C8" w:rsidP="003637A8">
      <w:pPr>
        <w:widowControl/>
        <w:ind w:firstLine="640"/>
        <w:jc w:val="left"/>
        <w:rPr>
          <w:szCs w:val="32"/>
        </w:rPr>
      </w:pPr>
      <w:r>
        <w:rPr>
          <w:rFonts w:hint="eastAsia"/>
          <w:color w:val="000000"/>
          <w:szCs w:val="32"/>
        </w:rPr>
        <w:t>七、</w:t>
      </w:r>
      <w:r>
        <w:rPr>
          <w:szCs w:val="32"/>
        </w:rPr>
        <w:t>“</w:t>
      </w:r>
      <w:r>
        <w:rPr>
          <w:rFonts w:hint="eastAsia"/>
          <w:szCs w:val="32"/>
        </w:rPr>
        <w:t>三公</w:t>
      </w:r>
      <w:r>
        <w:rPr>
          <w:szCs w:val="32"/>
        </w:rPr>
        <w:t>”</w:t>
      </w:r>
      <w:r>
        <w:rPr>
          <w:rFonts w:hint="eastAsia"/>
          <w:szCs w:val="32"/>
        </w:rPr>
        <w:t>经费：纳入财政预决算管理的</w:t>
      </w:r>
      <w:r>
        <w:rPr>
          <w:szCs w:val="32"/>
        </w:rPr>
        <w:t>“</w:t>
      </w:r>
      <w:r>
        <w:rPr>
          <w:rFonts w:hint="eastAsia"/>
          <w:szCs w:val="32"/>
        </w:rPr>
        <w:t>三公</w:t>
      </w:r>
      <w:r>
        <w:rPr>
          <w:szCs w:val="32"/>
        </w:rPr>
        <w:t>”</w:t>
      </w:r>
      <w:r>
        <w:rPr>
          <w:rFonts w:hint="eastAsia"/>
          <w:szCs w:val="32"/>
        </w:rPr>
        <w:t>经费是指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10436" w:rsidRPr="003F5607" w:rsidRDefault="00E10436" w:rsidP="003637A8">
      <w:pPr>
        <w:widowControl/>
        <w:ind w:firstLine="640"/>
        <w:jc w:val="left"/>
        <w:rPr>
          <w:color w:val="000000"/>
          <w:szCs w:val="32"/>
        </w:rPr>
      </w:pPr>
      <w:r>
        <w:rPr>
          <w:rFonts w:hint="eastAsia"/>
          <w:szCs w:val="32"/>
        </w:rPr>
        <w:t>八、机关运行经费：为保障行政单位（含参照公务员法管理的事业单位）运行用于购买货物和服务的各项资金，包括办公及印刷费、邮电费、差旅费、会议费、福利费、日常</w:t>
      </w:r>
      <w:r>
        <w:rPr>
          <w:rFonts w:hint="eastAsia"/>
          <w:szCs w:val="32"/>
        </w:rPr>
        <w:lastRenderedPageBreak/>
        <w:t>维修费、专用材料及一般设备购置费、办公用房水电费、办公用房取暖费、办公用房物业管理费、公务用车运行维护费以及其他费用。</w:t>
      </w:r>
    </w:p>
    <w:p w:rsidR="003637A8" w:rsidRPr="00493E0F" w:rsidRDefault="003637A8" w:rsidP="003637A8">
      <w:pPr>
        <w:ind w:firstLineChars="0" w:firstLine="0"/>
        <w:rPr>
          <w:rFonts w:eastAsia="黑体"/>
          <w:sz w:val="28"/>
          <w:szCs w:val="28"/>
        </w:rPr>
      </w:pPr>
    </w:p>
    <w:p w:rsidR="003637A8" w:rsidRPr="00271E7A" w:rsidRDefault="003637A8" w:rsidP="003637A8">
      <w:pPr>
        <w:spacing w:line="580" w:lineRule="exact"/>
        <w:ind w:firstLine="600"/>
        <w:rPr>
          <w:sz w:val="30"/>
          <w:szCs w:val="30"/>
        </w:rPr>
      </w:pPr>
    </w:p>
    <w:p w:rsidR="003637A8" w:rsidRDefault="003637A8" w:rsidP="003637A8">
      <w:pPr>
        <w:ind w:firstLine="640"/>
      </w:pPr>
    </w:p>
    <w:sectPr w:rsidR="003637A8" w:rsidSect="004557D9">
      <w:pgSz w:w="11906" w:h="16838"/>
      <w:pgMar w:top="1440" w:right="1800" w:bottom="1440" w:left="1800" w:header="851" w:footer="992" w:gutter="0"/>
      <w:pgNumType w:fmt="numberInDash" w:start="7"/>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209" w:rsidRDefault="00D25209" w:rsidP="00957AC2">
      <w:pPr>
        <w:spacing w:line="240" w:lineRule="auto"/>
        <w:ind w:firstLine="640"/>
      </w:pPr>
      <w:r>
        <w:separator/>
      </w:r>
    </w:p>
  </w:endnote>
  <w:endnote w:type="continuationSeparator" w:id="1">
    <w:p w:rsidR="00D25209" w:rsidRDefault="00D25209" w:rsidP="00957AC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Default="003637A8" w:rsidP="003637A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Pr="00C0282A" w:rsidRDefault="003637A8" w:rsidP="00977862">
    <w:pPr>
      <w:pStyle w:val="a4"/>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Default="003637A8" w:rsidP="003637A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209" w:rsidRDefault="00D25209" w:rsidP="00957AC2">
      <w:pPr>
        <w:spacing w:line="240" w:lineRule="auto"/>
        <w:ind w:firstLine="640"/>
      </w:pPr>
      <w:r>
        <w:separator/>
      </w:r>
    </w:p>
  </w:footnote>
  <w:footnote w:type="continuationSeparator" w:id="1">
    <w:p w:rsidR="00D25209" w:rsidRDefault="00D25209" w:rsidP="00957AC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Default="003637A8" w:rsidP="003637A8">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Default="003637A8" w:rsidP="00C53F2A">
    <w:pPr>
      <w:pStyle w:val="a3"/>
      <w:pBdr>
        <w:bottom w:val="none" w:sz="0" w:space="0" w:color="auto"/>
      </w:pBdr>
      <w:ind w:firstLineChars="111"/>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7A8" w:rsidRDefault="003637A8" w:rsidP="003637A8">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53A96"/>
    <w:multiLevelType w:val="hybridMultilevel"/>
    <w:tmpl w:val="FA6A6AC6"/>
    <w:lvl w:ilvl="0" w:tplc="191C928E">
      <w:start w:val="1"/>
      <w:numFmt w:val="japaneseCounting"/>
      <w:lvlText w:val="（%1）"/>
      <w:lvlJc w:val="left"/>
      <w:pPr>
        <w:ind w:left="1723" w:hanging="108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1">
    <w:nsid w:val="565258F4"/>
    <w:multiLevelType w:val="hybridMultilevel"/>
    <w:tmpl w:val="09E6F926"/>
    <w:lvl w:ilvl="0" w:tplc="AE30E53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60"/>
  <w:drawingGridVerticalSpacing w:val="435"/>
  <w:displayHorizontalDrawingGridEvery w:val="0"/>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7A8"/>
    <w:rsid w:val="00007E81"/>
    <w:rsid w:val="00025909"/>
    <w:rsid w:val="00037C4F"/>
    <w:rsid w:val="00084DE9"/>
    <w:rsid w:val="00171AC2"/>
    <w:rsid w:val="001A504F"/>
    <w:rsid w:val="001D3A59"/>
    <w:rsid w:val="001F7BE7"/>
    <w:rsid w:val="00200C1B"/>
    <w:rsid w:val="00201330"/>
    <w:rsid w:val="00217F27"/>
    <w:rsid w:val="002371CB"/>
    <w:rsid w:val="00255E10"/>
    <w:rsid w:val="002C4001"/>
    <w:rsid w:val="0034575C"/>
    <w:rsid w:val="003637A8"/>
    <w:rsid w:val="00364561"/>
    <w:rsid w:val="003673E2"/>
    <w:rsid w:val="00415A00"/>
    <w:rsid w:val="00432AD2"/>
    <w:rsid w:val="0044659E"/>
    <w:rsid w:val="004557D9"/>
    <w:rsid w:val="00464620"/>
    <w:rsid w:val="00494411"/>
    <w:rsid w:val="004B6033"/>
    <w:rsid w:val="004C4DCA"/>
    <w:rsid w:val="004D05B5"/>
    <w:rsid w:val="00561D18"/>
    <w:rsid w:val="005E1838"/>
    <w:rsid w:val="00640A25"/>
    <w:rsid w:val="00642690"/>
    <w:rsid w:val="006B33C8"/>
    <w:rsid w:val="00835E34"/>
    <w:rsid w:val="00864E20"/>
    <w:rsid w:val="00867046"/>
    <w:rsid w:val="008C6D3F"/>
    <w:rsid w:val="0091558B"/>
    <w:rsid w:val="00957AC2"/>
    <w:rsid w:val="009627C9"/>
    <w:rsid w:val="00977862"/>
    <w:rsid w:val="009F2A9D"/>
    <w:rsid w:val="00AA38EB"/>
    <w:rsid w:val="00AC682C"/>
    <w:rsid w:val="00B35766"/>
    <w:rsid w:val="00B47D2C"/>
    <w:rsid w:val="00B833D6"/>
    <w:rsid w:val="00B91D12"/>
    <w:rsid w:val="00BD4A6F"/>
    <w:rsid w:val="00C0282A"/>
    <w:rsid w:val="00C53F2A"/>
    <w:rsid w:val="00CB28B6"/>
    <w:rsid w:val="00CC6568"/>
    <w:rsid w:val="00D05E10"/>
    <w:rsid w:val="00D25209"/>
    <w:rsid w:val="00DC5CD7"/>
    <w:rsid w:val="00E10436"/>
    <w:rsid w:val="00E740D0"/>
    <w:rsid w:val="00E777F0"/>
    <w:rsid w:val="00E92334"/>
    <w:rsid w:val="00EB3509"/>
    <w:rsid w:val="00ED292C"/>
    <w:rsid w:val="00F16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7A8"/>
    <w:pPr>
      <w:widowControl w:val="0"/>
      <w:spacing w:line="600" w:lineRule="exact"/>
      <w:ind w:firstLineChars="200" w:firstLine="20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637A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Char">
    <w:name w:val="页眉 Char"/>
    <w:link w:val="a3"/>
    <w:locked/>
    <w:rsid w:val="003637A8"/>
    <w:rPr>
      <w:rFonts w:ascii="Calibri" w:eastAsia="宋体" w:hAnsi="Calibri"/>
      <w:sz w:val="18"/>
      <w:szCs w:val="18"/>
      <w:lang w:val="en-US" w:eastAsia="zh-CN" w:bidi="ar-SA"/>
    </w:rPr>
  </w:style>
  <w:style w:type="paragraph" w:styleId="a4">
    <w:name w:val="footer"/>
    <w:basedOn w:val="a"/>
    <w:link w:val="Char0"/>
    <w:uiPriority w:val="99"/>
    <w:rsid w:val="003637A8"/>
    <w:pPr>
      <w:tabs>
        <w:tab w:val="center" w:pos="4153"/>
        <w:tab w:val="right" w:pos="8306"/>
      </w:tabs>
      <w:snapToGrid w:val="0"/>
      <w:jc w:val="left"/>
    </w:pPr>
    <w:rPr>
      <w:rFonts w:ascii="Calibri" w:eastAsia="宋体" w:hAnsi="Calibri"/>
      <w:kern w:val="0"/>
      <w:sz w:val="18"/>
      <w:szCs w:val="18"/>
    </w:rPr>
  </w:style>
  <w:style w:type="character" w:customStyle="1" w:styleId="Char0">
    <w:name w:val="页脚 Char"/>
    <w:link w:val="a4"/>
    <w:uiPriority w:val="99"/>
    <w:locked/>
    <w:rsid w:val="003637A8"/>
    <w:rPr>
      <w:rFonts w:ascii="Calibri" w:eastAsia="宋体" w:hAnsi="Calibri"/>
      <w:sz w:val="18"/>
      <w:szCs w:val="18"/>
      <w:lang w:val="en-US" w:eastAsia="zh-CN" w:bidi="ar-SA"/>
    </w:rPr>
  </w:style>
  <w:style w:type="paragraph" w:customStyle="1" w:styleId="1">
    <w:name w:val="列出段落1"/>
    <w:basedOn w:val="a"/>
    <w:rsid w:val="003637A8"/>
    <w:pPr>
      <w:ind w:firstLine="420"/>
    </w:pPr>
  </w:style>
  <w:style w:type="paragraph" w:styleId="a5">
    <w:name w:val="Balloon Text"/>
    <w:basedOn w:val="a"/>
    <w:link w:val="Char1"/>
    <w:rsid w:val="00957AC2"/>
    <w:pPr>
      <w:spacing w:line="240" w:lineRule="auto"/>
    </w:pPr>
    <w:rPr>
      <w:sz w:val="18"/>
      <w:szCs w:val="18"/>
    </w:rPr>
  </w:style>
  <w:style w:type="character" w:customStyle="1" w:styleId="Char1">
    <w:name w:val="批注框文本 Char"/>
    <w:link w:val="a5"/>
    <w:rsid w:val="00957AC2"/>
    <w:rPr>
      <w:rFonts w:eastAsia="仿宋_GB2312"/>
      <w:kern w:val="2"/>
      <w:sz w:val="18"/>
      <w:szCs w:val="18"/>
    </w:rPr>
  </w:style>
  <w:style w:type="paragraph" w:styleId="a6">
    <w:name w:val="List Paragraph"/>
    <w:basedOn w:val="a"/>
    <w:uiPriority w:val="34"/>
    <w:qFormat/>
    <w:rsid w:val="00B91D12"/>
    <w:pPr>
      <w:ind w:firstLine="420"/>
    </w:pPr>
  </w:style>
</w:styles>
</file>

<file path=word/webSettings.xml><?xml version="1.0" encoding="utf-8"?>
<w:webSettings xmlns:r="http://schemas.openxmlformats.org/officeDocument/2006/relationships" xmlns:w="http://schemas.openxmlformats.org/wordprocessingml/2006/main">
  <w:divs>
    <w:div w:id="212694261">
      <w:bodyDiv w:val="1"/>
      <w:marLeft w:val="0"/>
      <w:marRight w:val="0"/>
      <w:marTop w:val="0"/>
      <w:marBottom w:val="0"/>
      <w:divBdr>
        <w:top w:val="none" w:sz="0" w:space="0" w:color="auto"/>
        <w:left w:val="none" w:sz="0" w:space="0" w:color="auto"/>
        <w:bottom w:val="none" w:sz="0" w:space="0" w:color="auto"/>
        <w:right w:val="none" w:sz="0" w:space="0" w:color="auto"/>
      </w:divBdr>
      <w:divsChild>
        <w:div w:id="583491874">
          <w:marLeft w:val="0"/>
          <w:marRight w:val="0"/>
          <w:marTop w:val="0"/>
          <w:marBottom w:val="0"/>
          <w:divBdr>
            <w:top w:val="none" w:sz="0" w:space="0" w:color="auto"/>
            <w:left w:val="none" w:sz="0" w:space="0" w:color="auto"/>
            <w:bottom w:val="none" w:sz="0" w:space="0" w:color="auto"/>
            <w:right w:val="none" w:sz="0" w:space="0" w:color="auto"/>
          </w:divBdr>
        </w:div>
      </w:divsChild>
    </w:div>
    <w:div w:id="230502201">
      <w:bodyDiv w:val="1"/>
      <w:marLeft w:val="0"/>
      <w:marRight w:val="0"/>
      <w:marTop w:val="0"/>
      <w:marBottom w:val="0"/>
      <w:divBdr>
        <w:top w:val="none" w:sz="0" w:space="0" w:color="auto"/>
        <w:left w:val="none" w:sz="0" w:space="0" w:color="auto"/>
        <w:bottom w:val="none" w:sz="0" w:space="0" w:color="auto"/>
        <w:right w:val="none" w:sz="0" w:space="0" w:color="auto"/>
      </w:divBdr>
      <w:divsChild>
        <w:div w:id="1597396418">
          <w:marLeft w:val="0"/>
          <w:marRight w:val="0"/>
          <w:marTop w:val="0"/>
          <w:marBottom w:val="0"/>
          <w:divBdr>
            <w:top w:val="none" w:sz="0" w:space="0" w:color="auto"/>
            <w:left w:val="none" w:sz="0" w:space="0" w:color="auto"/>
            <w:bottom w:val="none" w:sz="0" w:space="0" w:color="auto"/>
            <w:right w:val="none" w:sz="0" w:space="0" w:color="auto"/>
          </w:divBdr>
        </w:div>
      </w:divsChild>
    </w:div>
    <w:div w:id="585306300">
      <w:bodyDiv w:val="1"/>
      <w:marLeft w:val="0"/>
      <w:marRight w:val="0"/>
      <w:marTop w:val="0"/>
      <w:marBottom w:val="0"/>
      <w:divBdr>
        <w:top w:val="none" w:sz="0" w:space="0" w:color="auto"/>
        <w:left w:val="none" w:sz="0" w:space="0" w:color="auto"/>
        <w:bottom w:val="none" w:sz="0" w:space="0" w:color="auto"/>
        <w:right w:val="none" w:sz="0" w:space="0" w:color="auto"/>
      </w:divBdr>
      <w:divsChild>
        <w:div w:id="2002002076">
          <w:marLeft w:val="0"/>
          <w:marRight w:val="0"/>
          <w:marTop w:val="0"/>
          <w:marBottom w:val="0"/>
          <w:divBdr>
            <w:top w:val="none" w:sz="0" w:space="0" w:color="auto"/>
            <w:left w:val="none" w:sz="0" w:space="0" w:color="auto"/>
            <w:bottom w:val="none" w:sz="0" w:space="0" w:color="auto"/>
            <w:right w:val="none" w:sz="0" w:space="0" w:color="auto"/>
          </w:divBdr>
        </w:div>
      </w:divsChild>
    </w:div>
    <w:div w:id="1161581966">
      <w:bodyDiv w:val="1"/>
      <w:marLeft w:val="0"/>
      <w:marRight w:val="0"/>
      <w:marTop w:val="0"/>
      <w:marBottom w:val="0"/>
      <w:divBdr>
        <w:top w:val="none" w:sz="0" w:space="0" w:color="auto"/>
        <w:left w:val="none" w:sz="0" w:space="0" w:color="auto"/>
        <w:bottom w:val="none" w:sz="0" w:space="0" w:color="auto"/>
        <w:right w:val="none" w:sz="0" w:space="0" w:color="auto"/>
      </w:divBdr>
    </w:div>
    <w:div w:id="1297761784">
      <w:bodyDiv w:val="1"/>
      <w:marLeft w:val="0"/>
      <w:marRight w:val="0"/>
      <w:marTop w:val="0"/>
      <w:marBottom w:val="0"/>
      <w:divBdr>
        <w:top w:val="none" w:sz="0" w:space="0" w:color="auto"/>
        <w:left w:val="none" w:sz="0" w:space="0" w:color="auto"/>
        <w:bottom w:val="none" w:sz="0" w:space="0" w:color="auto"/>
        <w:right w:val="none" w:sz="0" w:space="0" w:color="auto"/>
      </w:divBdr>
      <w:divsChild>
        <w:div w:id="1436752883">
          <w:marLeft w:val="0"/>
          <w:marRight w:val="0"/>
          <w:marTop w:val="0"/>
          <w:marBottom w:val="0"/>
          <w:divBdr>
            <w:top w:val="none" w:sz="0" w:space="0" w:color="auto"/>
            <w:left w:val="none" w:sz="0" w:space="0" w:color="auto"/>
            <w:bottom w:val="none" w:sz="0" w:space="0" w:color="auto"/>
            <w:right w:val="none" w:sz="0" w:space="0" w:color="auto"/>
          </w:divBdr>
        </w:div>
      </w:divsChild>
    </w:div>
    <w:div w:id="1411657875">
      <w:bodyDiv w:val="1"/>
      <w:marLeft w:val="0"/>
      <w:marRight w:val="0"/>
      <w:marTop w:val="0"/>
      <w:marBottom w:val="0"/>
      <w:divBdr>
        <w:top w:val="none" w:sz="0" w:space="0" w:color="auto"/>
        <w:left w:val="none" w:sz="0" w:space="0" w:color="auto"/>
        <w:bottom w:val="none" w:sz="0" w:space="0" w:color="auto"/>
        <w:right w:val="none" w:sz="0" w:space="0" w:color="auto"/>
      </w:divBdr>
      <w:divsChild>
        <w:div w:id="94280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17</Pages>
  <Words>744</Words>
  <Characters>4247</Characters>
  <Application>Microsoft Office Word</Application>
  <DocSecurity>0</DocSecurity>
  <Lines>35</Lines>
  <Paragraphs>9</Paragraphs>
  <ScaleCrop>false</ScaleCrop>
  <Company>Microsoft</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rsj</cp:lastModifiedBy>
  <cp:revision>11</cp:revision>
  <cp:lastPrinted>2019-09-05T09:11:00Z</cp:lastPrinted>
  <dcterms:created xsi:type="dcterms:W3CDTF">2019-09-17T08:42:00Z</dcterms:created>
  <dcterms:modified xsi:type="dcterms:W3CDTF">2019-10-08T06:36:00Z</dcterms:modified>
</cp:coreProperties>
</file>